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51C8" w14:textId="4D8D9D58" w:rsidR="00284E28" w:rsidRPr="00284E28" w:rsidRDefault="00284E28" w:rsidP="00284E28">
      <w:pPr>
        <w:spacing w:line="276" w:lineRule="auto"/>
        <w:jc w:val="center"/>
        <w:rPr>
          <w:b/>
        </w:rPr>
      </w:pPr>
      <w:r>
        <w:rPr>
          <w:b/>
        </w:rPr>
        <w:t>SRNT-O</w:t>
      </w:r>
      <w:r w:rsidR="00D037E8">
        <w:rPr>
          <w:b/>
        </w:rPr>
        <w:t>ceania chapter</w:t>
      </w:r>
      <w:r>
        <w:rPr>
          <w:b/>
        </w:rPr>
        <w:t xml:space="preserve"> policy </w:t>
      </w:r>
      <w:r w:rsidR="005F159F">
        <w:rPr>
          <w:b/>
        </w:rPr>
        <w:t>regarding commercial industry participation in our chapter</w:t>
      </w:r>
    </w:p>
    <w:p w14:paraId="00000001" w14:textId="604EC53B" w:rsidR="00F5679C" w:rsidRPr="00976F86" w:rsidRDefault="00592B00" w:rsidP="003409E1">
      <w:pPr>
        <w:spacing w:line="276" w:lineRule="auto"/>
        <w:rPr>
          <w:bCs/>
        </w:rPr>
      </w:pPr>
      <w:r w:rsidRPr="00976F86">
        <w:rPr>
          <w:bCs/>
        </w:rPr>
        <w:t>The Society for Research on Nicotine and Tobacco – Oceania Chapter is committed to ensuring that our conferences and events are protected from influence and interference from the commercial tobacco industry and non-therapeutic nicotine industry so that our members and other attendees can safely and respectfully engage in open discussion and debate*. We recognise the importance of Article 5.3 of the Framework Convention on Tobacco Control (FCTC) that protects the development of policy from the influence of the tobacco industry. We also acknowledge the decision of the Sixth Conference of the Parties to the FCTC, to consider taking measures to “protect tobacco-control activities from all commercial and other vested interests related to ENDS/ENNDS [i.e. e-cigarettes or electronic nicotine delivery systems/electronic non-nicotine delivery systems], including interests of the tobacco industry”.</w:t>
      </w:r>
      <w:r w:rsidRPr="00976F86">
        <w:rPr>
          <w:bCs/>
          <w:vertAlign w:val="superscript"/>
        </w:rPr>
        <w:footnoteReference w:id="1"/>
      </w:r>
      <w:r w:rsidRPr="00976F86">
        <w:rPr>
          <w:bCs/>
        </w:rPr>
        <w:t xml:space="preserve"> </w:t>
      </w:r>
    </w:p>
    <w:p w14:paraId="00000003" w14:textId="5CD18599" w:rsidR="00F5679C" w:rsidRPr="00976F86" w:rsidRDefault="00592B00" w:rsidP="003409E1">
      <w:pPr>
        <w:spacing w:after="0" w:line="276" w:lineRule="auto"/>
        <w:rPr>
          <w:bCs/>
        </w:rPr>
      </w:pPr>
      <w:r w:rsidRPr="00976F86">
        <w:rPr>
          <w:bCs/>
        </w:rPr>
        <w:t>The commercial tobacco industry</w:t>
      </w:r>
      <w:r w:rsidRPr="00976F86">
        <w:rPr>
          <w:bCs/>
          <w:vertAlign w:val="superscript"/>
        </w:rPr>
        <w:footnoteReference w:id="2"/>
      </w:r>
      <w:r w:rsidRPr="00976F86">
        <w:rPr>
          <w:bCs/>
        </w:rPr>
        <w:t xml:space="preserve"> </w:t>
      </w:r>
      <w:r w:rsidRPr="00976F86">
        <w:rPr>
          <w:bCs/>
          <w:vertAlign w:val="superscript"/>
        </w:rPr>
        <w:footnoteReference w:id="3"/>
      </w:r>
      <w:r w:rsidRPr="00976F86">
        <w:rPr>
          <w:bCs/>
        </w:rPr>
        <w:t xml:space="preserve"> </w:t>
      </w:r>
      <w:r w:rsidRPr="00976F86">
        <w:rPr>
          <w:bCs/>
          <w:vertAlign w:val="superscript"/>
        </w:rPr>
        <w:footnoteReference w:id="4"/>
      </w:r>
      <w:r w:rsidRPr="00976F86">
        <w:rPr>
          <w:bCs/>
        </w:rPr>
        <w:t>, and the non-therapeutic nicotine and related product industries (including vapes, heated tobacco products, oral tobacco and other recreational nicotine products) can influence tobacco and non-therapeutic nicotine evidence</w:t>
      </w:r>
      <w:r w:rsidRPr="00976F86">
        <w:rPr>
          <w:bCs/>
          <w:vertAlign w:val="superscript"/>
        </w:rPr>
        <w:footnoteReference w:id="5"/>
      </w:r>
      <w:r w:rsidR="00381176" w:rsidRPr="00976F86">
        <w:rPr>
          <w:bCs/>
        </w:rPr>
        <w:t>,</w:t>
      </w:r>
      <w:r w:rsidRPr="00976F86">
        <w:rPr>
          <w:bCs/>
        </w:rPr>
        <w:t xml:space="preserve"> have </w:t>
      </w:r>
      <w:r w:rsidR="006758B8" w:rsidRPr="00976F86">
        <w:rPr>
          <w:bCs/>
        </w:rPr>
        <w:t xml:space="preserve">co-opted </w:t>
      </w:r>
      <w:r w:rsidR="00FE062D" w:rsidRPr="00976F86">
        <w:rPr>
          <w:bCs/>
        </w:rPr>
        <w:t>‘harm reduction’ terminology</w:t>
      </w:r>
      <w:r w:rsidR="00A55E1B" w:rsidRPr="00976F86">
        <w:rPr>
          <w:rStyle w:val="FootnoteReference"/>
          <w:bCs/>
        </w:rPr>
        <w:footnoteReference w:id="6"/>
      </w:r>
      <w:r w:rsidR="00381176" w:rsidRPr="00976F86">
        <w:rPr>
          <w:bCs/>
        </w:rPr>
        <w:t xml:space="preserve"> </w:t>
      </w:r>
      <w:r w:rsidR="00FE062D" w:rsidRPr="00976F86">
        <w:rPr>
          <w:rStyle w:val="FootnoteReference"/>
          <w:bCs/>
        </w:rPr>
        <w:footnoteReference w:id="7"/>
      </w:r>
      <w:r w:rsidR="00381176" w:rsidRPr="00976F86">
        <w:rPr>
          <w:bCs/>
        </w:rPr>
        <w:t xml:space="preserve"> </w:t>
      </w:r>
      <w:r w:rsidR="00381176" w:rsidRPr="00976F86">
        <w:rPr>
          <w:rStyle w:val="FootnoteReference"/>
          <w:bCs/>
        </w:rPr>
        <w:footnoteReference w:id="8"/>
      </w:r>
      <w:r w:rsidR="00FE062D" w:rsidRPr="00976F86">
        <w:rPr>
          <w:bCs/>
        </w:rPr>
        <w:t xml:space="preserve"> and </w:t>
      </w:r>
      <w:r w:rsidRPr="00976F86">
        <w:rPr>
          <w:bCs/>
        </w:rPr>
        <w:t>appropriated legitimate tobacco control discourse and terms to use these to meet their own commercial ends (e.g., ‘smokefree’; using ‘smoking cessation’ and ‘quitting’ to encourage long-term use of non-therapeutic nicotine products)</w:t>
      </w:r>
      <w:r w:rsidRPr="00976F86">
        <w:rPr>
          <w:bCs/>
          <w:vertAlign w:val="superscript"/>
        </w:rPr>
        <w:footnoteReference w:id="9"/>
      </w:r>
      <w:r w:rsidRPr="00976F86">
        <w:rPr>
          <w:bCs/>
        </w:rPr>
        <w:t xml:space="preserve">. Therefore, to maintain our commitment to providing an environment for safe engagement we require that attendees at our conferences and events, and our members, do not have, and have not had in the past five years, any </w:t>
      </w:r>
      <w:sdt>
        <w:sdtPr>
          <w:rPr>
            <w:bCs/>
          </w:rPr>
          <w:tag w:val="goog_rdk_2"/>
          <w:id w:val="-1149977265"/>
        </w:sdtPr>
        <w:sdtContent/>
      </w:sdt>
      <w:sdt>
        <w:sdtPr>
          <w:rPr>
            <w:bCs/>
          </w:rPr>
          <w:tag w:val="goog_rdk_3"/>
          <w:id w:val="-453715909"/>
        </w:sdtPr>
        <w:sdtContent/>
      </w:sdt>
      <w:sdt>
        <w:sdtPr>
          <w:rPr>
            <w:bCs/>
          </w:rPr>
          <w:tag w:val="goog_rdk_4"/>
          <w:id w:val="-1269619145"/>
        </w:sdtPr>
        <w:sdtContent/>
      </w:sdt>
      <w:sdt>
        <w:sdtPr>
          <w:rPr>
            <w:bCs/>
          </w:rPr>
          <w:tag w:val="goog_rdk_5"/>
          <w:id w:val="1428154927"/>
        </w:sdtPr>
        <w:sdtContent/>
      </w:sdt>
      <w:r w:rsidRPr="00976F86">
        <w:rPr>
          <w:bCs/>
        </w:rPr>
        <w:t xml:space="preserve">employment or received financial support from** commercial tobacco or non-therapeutic nicotine product industries (the </w:t>
      </w:r>
      <w:proofErr w:type="gramStart"/>
      <w:r w:rsidRPr="00976F86">
        <w:rPr>
          <w:bCs/>
        </w:rPr>
        <w:t>Industry</w:t>
      </w:r>
      <w:proofErr w:type="gramEnd"/>
      <w:r w:rsidRPr="00976F86">
        <w:rPr>
          <w:bCs/>
        </w:rPr>
        <w:t xml:space="preserve">**). This includes direct or indirect employment, consulting and advisory relationships, and funding or in-kind support from these industries, including from arms-length organisations and networks with funding links to these industries, such as ‘Global action to end smoking’ (formerly FSFW) and the Global Forum on Nicotine (GFN) and Knowledge-Action-Change (KAC), either directly or through </w:t>
      </w:r>
      <w:r w:rsidR="000E6EB3" w:rsidRPr="00976F86">
        <w:rPr>
          <w:bCs/>
        </w:rPr>
        <w:t>third parties</w:t>
      </w:r>
      <w:r w:rsidRPr="00976F86">
        <w:rPr>
          <w:bCs/>
        </w:rPr>
        <w:t xml:space="preserve">.  </w:t>
      </w:r>
      <w:sdt>
        <w:sdtPr>
          <w:rPr>
            <w:bCs/>
          </w:rPr>
          <w:tag w:val="goog_rdk_6"/>
          <w:id w:val="48419095"/>
        </w:sdtPr>
        <w:sdtContent/>
      </w:sdt>
      <w:sdt>
        <w:sdtPr>
          <w:rPr>
            <w:bCs/>
          </w:rPr>
          <w:tag w:val="goog_rdk_7"/>
          <w:id w:val="-1086454870"/>
        </w:sdtPr>
        <w:sdtContent/>
      </w:sdt>
      <w:sdt>
        <w:sdtPr>
          <w:rPr>
            <w:bCs/>
          </w:rPr>
          <w:tag w:val="goog_rdk_8"/>
          <w:id w:val="-860894964"/>
        </w:sdtPr>
        <w:sdtContent/>
      </w:sdt>
      <w:sdt>
        <w:sdtPr>
          <w:rPr>
            <w:bCs/>
          </w:rPr>
          <w:tag w:val="goog_rdk_9"/>
          <w:id w:val="1094122439"/>
        </w:sdtPr>
        <w:sdtContent/>
      </w:sdt>
      <w:sdt>
        <w:sdtPr>
          <w:rPr>
            <w:bCs/>
          </w:rPr>
          <w:tag w:val="goog_rdk_10"/>
          <w:id w:val="1954821969"/>
        </w:sdtPr>
        <w:sdtContent/>
      </w:sdt>
      <w:sdt>
        <w:sdtPr>
          <w:rPr>
            <w:bCs/>
          </w:rPr>
          <w:tag w:val="goog_rdk_11"/>
          <w:id w:val="1656496775"/>
        </w:sdtPr>
        <w:sdtContent/>
      </w:sdt>
      <w:r w:rsidRPr="00976F86">
        <w:rPr>
          <w:bCs/>
        </w:rPr>
        <w:t xml:space="preserve">The Board also reserves the right to exclude from attendance at SRNT-O events </w:t>
      </w:r>
      <w:r w:rsidRPr="00976F86">
        <w:rPr>
          <w:bCs/>
        </w:rPr>
        <w:lastRenderedPageBreak/>
        <w:t>individuals who are found to have breached the SRNT Code of Conduct</w:t>
      </w:r>
      <w:r w:rsidR="00976F86" w:rsidRPr="00976F86">
        <w:rPr>
          <w:rStyle w:val="FootnoteReference"/>
          <w:bCs/>
        </w:rPr>
        <w:footnoteReference w:id="10"/>
      </w:r>
      <w:r w:rsidRPr="00976F86">
        <w:rPr>
          <w:bCs/>
        </w:rPr>
        <w:t>, consistent with the SRNT Policy.</w:t>
      </w:r>
    </w:p>
    <w:p w14:paraId="00000004" w14:textId="77777777" w:rsidR="00F5679C" w:rsidRDefault="00F5679C">
      <w:pPr>
        <w:spacing w:after="0" w:line="240" w:lineRule="auto"/>
      </w:pPr>
    </w:p>
    <w:p w14:paraId="00000005" w14:textId="01789F73" w:rsidR="00F5679C" w:rsidRDefault="00592B00">
      <w:pPr>
        <w:spacing w:after="0" w:line="240" w:lineRule="auto"/>
      </w:pPr>
      <w:r>
        <w:t xml:space="preserve">*Safe engagement, including respectful and open discussion and debate are the key principles upon which this policy is based. </w:t>
      </w:r>
      <w:r>
        <w:rPr>
          <w:u w:val="single"/>
        </w:rPr>
        <w:t>Safe engagement</w:t>
      </w:r>
      <w:r>
        <w:t xml:space="preserve"> requires an assurance that spaces for debate and discussion are free from commercially driven agendas that prioritise the interests of commercial organisations and shareholders above the universal human right to health, especially among those racial/ethnic and other population groups historically and currently targeted and exploited by the commercial tobacco industry. Safe engagement can only occur within a culture of anti-racism and anti-exploitation where the promotion of equity is fostered (SRNT Health Equity Network (HEN) Recommendations</w:t>
      </w:r>
      <w:r w:rsidR="00CF74E8">
        <w:rPr>
          <w:rStyle w:val="FootnoteReference"/>
        </w:rPr>
        <w:footnoteReference w:id="11"/>
      </w:r>
      <w:r>
        <w:t xml:space="preserve">). </w:t>
      </w:r>
      <w:r>
        <w:rPr>
          <w:u w:val="single"/>
        </w:rPr>
        <w:t>Open discussion and debate</w:t>
      </w:r>
      <w:r>
        <w:t xml:space="preserve"> </w:t>
      </w:r>
      <w:proofErr w:type="gramStart"/>
      <w:r>
        <w:t>is</w:t>
      </w:r>
      <w:proofErr w:type="gramEnd"/>
      <w:r>
        <w:t xml:space="preserve"> an essential part of scientific enquiry and knowledge building. It requires the fora for these debates to be free from the biasing influence that industry</w:t>
      </w:r>
      <w:sdt>
        <w:sdtPr>
          <w:tag w:val="goog_rdk_12"/>
          <w:id w:val="-2122211896"/>
        </w:sdtPr>
        <w:sdtContent>
          <w:r>
            <w:t>-</w:t>
          </w:r>
        </w:sdtContent>
      </w:sdt>
      <w:r>
        <w:t>funded or supported research brings or the inhibiting presence of industry</w:t>
      </w:r>
      <w:sdt>
        <w:sdtPr>
          <w:tag w:val="goog_rdk_13"/>
          <w:id w:val="1668738578"/>
        </w:sdtPr>
        <w:sdtContent>
          <w:r>
            <w:t>-</w:t>
          </w:r>
        </w:sdtContent>
      </w:sdt>
      <w:r>
        <w:t>affiliated individuals</w:t>
      </w:r>
      <w:r w:rsidR="008A3072">
        <w:t xml:space="preserve">. </w:t>
      </w:r>
      <w:r w:rsidR="004C027A">
        <w:rPr>
          <w:rStyle w:val="FootnoteReference"/>
        </w:rPr>
        <w:footnoteReference w:id="12"/>
      </w:r>
      <w:r>
        <w:t xml:space="preserve"> </w:t>
      </w:r>
      <w:r w:rsidR="00BE39B3">
        <w:rPr>
          <w:rStyle w:val="FootnoteReference"/>
        </w:rPr>
        <w:footnoteReference w:id="13"/>
      </w:r>
      <w:r w:rsidR="004C6D96">
        <w:t xml:space="preserve"> </w:t>
      </w:r>
      <w:r w:rsidR="004C6D96">
        <w:rPr>
          <w:rStyle w:val="FootnoteReference"/>
        </w:rPr>
        <w:footnoteReference w:id="14"/>
      </w:r>
      <w:r>
        <w:t xml:space="preserve"> </w:t>
      </w:r>
    </w:p>
    <w:p w14:paraId="00000006" w14:textId="77777777" w:rsidR="00F5679C" w:rsidRDefault="00F5679C">
      <w:pPr>
        <w:spacing w:after="0" w:line="240" w:lineRule="auto"/>
      </w:pPr>
    </w:p>
    <w:p w14:paraId="00000007" w14:textId="76C20AFB" w:rsidR="00F5679C" w:rsidRDefault="00592B00">
      <w:pPr>
        <w:spacing w:after="0" w:line="240" w:lineRule="auto"/>
      </w:pPr>
      <w:r>
        <w:t xml:space="preserve">** Some exceptions </w:t>
      </w:r>
      <w:r w:rsidR="00127609">
        <w:t>would</w:t>
      </w:r>
      <w:r>
        <w:t xml:space="preserve"> include ownership of shares in a tobacco or non-therapeutic nicotine product company for tobacco and non-therapeutic nicotine product control or resistance advocacy purposes.</w:t>
      </w:r>
    </w:p>
    <w:p w14:paraId="00000008" w14:textId="77777777" w:rsidR="00F5679C" w:rsidRDefault="00F5679C">
      <w:pPr>
        <w:pBdr>
          <w:top w:val="nil"/>
          <w:left w:val="nil"/>
          <w:bottom w:val="nil"/>
          <w:right w:val="nil"/>
          <w:between w:val="nil"/>
        </w:pBdr>
        <w:spacing w:after="0" w:line="240" w:lineRule="auto"/>
        <w:rPr>
          <w:sz w:val="20"/>
          <w:szCs w:val="20"/>
        </w:rPr>
      </w:pPr>
    </w:p>
    <w:p w14:paraId="00000009" w14:textId="36754861" w:rsidR="00F5679C" w:rsidRPr="00A00802" w:rsidRDefault="00592B00">
      <w:pPr>
        <w:pBdr>
          <w:top w:val="nil"/>
          <w:left w:val="nil"/>
          <w:bottom w:val="nil"/>
          <w:right w:val="nil"/>
          <w:between w:val="nil"/>
        </w:pBdr>
        <w:spacing w:after="0" w:line="240" w:lineRule="auto"/>
        <w:rPr>
          <w:rFonts w:ascii="Calibri" w:eastAsia="Calibri" w:hAnsi="Calibri" w:cs="Calibri"/>
          <w:b/>
          <w:color w:val="000000"/>
          <w:sz w:val="20"/>
          <w:szCs w:val="20"/>
        </w:rPr>
      </w:pPr>
      <w:r w:rsidRPr="00A00802">
        <w:rPr>
          <w:rFonts w:ascii="Calibri" w:eastAsia="Calibri" w:hAnsi="Calibri" w:cs="Calibri"/>
          <w:sz w:val="20"/>
          <w:szCs w:val="20"/>
        </w:rPr>
        <w:t>*</w:t>
      </w:r>
      <w:sdt>
        <w:sdtPr>
          <w:rPr>
            <w:sz w:val="24"/>
            <w:szCs w:val="24"/>
          </w:rPr>
          <w:tag w:val="goog_rdk_15"/>
          <w:id w:val="1651479192"/>
        </w:sdtPr>
        <w:sdtContent>
          <w:r w:rsidRPr="00A00802">
            <w:rPr>
              <w:rFonts w:ascii="Calibri" w:eastAsia="Calibri" w:hAnsi="Calibri" w:cs="Calibri"/>
              <w:sz w:val="20"/>
              <w:szCs w:val="20"/>
            </w:rPr>
            <w:t>*</w:t>
          </w:r>
        </w:sdtContent>
      </w:sdt>
      <w:r w:rsidRPr="00A00802">
        <w:rPr>
          <w:rFonts w:ascii="Calibri" w:eastAsia="Calibri" w:hAnsi="Calibri" w:cs="Calibri"/>
          <w:sz w:val="20"/>
          <w:szCs w:val="20"/>
        </w:rPr>
        <w:t>*</w:t>
      </w:r>
      <w:r w:rsidRPr="00A00802">
        <w:rPr>
          <w:rFonts w:ascii="Calibri" w:eastAsia="Calibri" w:hAnsi="Calibri" w:cs="Calibri"/>
          <w:color w:val="000000"/>
          <w:sz w:val="20"/>
          <w:szCs w:val="20"/>
        </w:rPr>
        <w:t xml:space="preserve">The </w:t>
      </w:r>
      <w:proofErr w:type="gramStart"/>
      <w:r w:rsidRPr="00A00802">
        <w:rPr>
          <w:rFonts w:ascii="Calibri" w:eastAsia="Calibri" w:hAnsi="Calibri" w:cs="Calibri"/>
          <w:color w:val="000000"/>
          <w:sz w:val="20"/>
          <w:szCs w:val="20"/>
        </w:rPr>
        <w:t>Industry</w:t>
      </w:r>
      <w:proofErr w:type="gramEnd"/>
      <w:r w:rsidRPr="00A00802">
        <w:rPr>
          <w:rFonts w:ascii="Calibri" w:eastAsia="Calibri" w:hAnsi="Calibri" w:cs="Calibri"/>
          <w:color w:val="000000"/>
          <w:sz w:val="20"/>
          <w:szCs w:val="20"/>
        </w:rPr>
        <w:t xml:space="preserve"> includes any entities involved in commercial manufacturing, marketing, distribution, or sale of tobacco and/or nicotine products. This includes parent companies and subsidiaries of such entities or individuals, entities </w:t>
      </w:r>
      <w:r w:rsidRPr="00A00802">
        <w:rPr>
          <w:rFonts w:ascii="Calibri" w:eastAsia="Calibri" w:hAnsi="Calibri" w:cs="Calibri"/>
          <w:sz w:val="20"/>
          <w:szCs w:val="20"/>
        </w:rPr>
        <w:t>which are substantially controlled by or acting on behalf of the industry</w:t>
      </w:r>
      <w:r w:rsidRPr="00A00802">
        <w:rPr>
          <w:rFonts w:ascii="Calibri" w:eastAsia="Calibri" w:hAnsi="Calibri" w:cs="Calibri"/>
          <w:color w:val="000000"/>
          <w:sz w:val="20"/>
          <w:szCs w:val="20"/>
        </w:rPr>
        <w:t xml:space="preserve">. Any entities or individuals that received any financial, material or in-kind support from the industry as defined above are affiliates of </w:t>
      </w:r>
      <w:r w:rsidR="0040450F" w:rsidRPr="00A00802">
        <w:rPr>
          <w:rFonts w:ascii="Calibri" w:eastAsia="Calibri" w:hAnsi="Calibri" w:cs="Calibri"/>
          <w:color w:val="000000"/>
          <w:sz w:val="20"/>
          <w:szCs w:val="20"/>
        </w:rPr>
        <w:t>T</w:t>
      </w:r>
      <w:r w:rsidRPr="00A00802">
        <w:rPr>
          <w:rFonts w:ascii="Calibri" w:eastAsia="Calibri" w:hAnsi="Calibri" w:cs="Calibri"/>
          <w:color w:val="000000"/>
          <w:sz w:val="20"/>
          <w:szCs w:val="20"/>
        </w:rPr>
        <w:t xml:space="preserve">he </w:t>
      </w:r>
      <w:r w:rsidR="00127609" w:rsidRPr="00A00802">
        <w:rPr>
          <w:rFonts w:ascii="Calibri" w:eastAsia="Calibri" w:hAnsi="Calibri" w:cs="Calibri"/>
          <w:color w:val="000000"/>
          <w:sz w:val="20"/>
          <w:szCs w:val="20"/>
        </w:rPr>
        <w:t>I</w:t>
      </w:r>
      <w:r w:rsidRPr="00A00802">
        <w:rPr>
          <w:rFonts w:ascii="Calibri" w:eastAsia="Calibri" w:hAnsi="Calibri" w:cs="Calibri"/>
          <w:color w:val="000000"/>
          <w:sz w:val="20"/>
          <w:szCs w:val="20"/>
        </w:rPr>
        <w:t xml:space="preserve">ndustry. This definition does not apply to </w:t>
      </w:r>
      <w:r w:rsidRPr="00A00802">
        <w:rPr>
          <w:rFonts w:ascii="Calibri" w:eastAsia="Calibri" w:hAnsi="Calibri" w:cs="Calibri"/>
          <w:sz w:val="20"/>
          <w:szCs w:val="20"/>
        </w:rPr>
        <w:t>government</w:t>
      </w:r>
      <w:r w:rsidRPr="00A00802">
        <w:rPr>
          <w:rFonts w:ascii="Calibri" w:eastAsia="Calibri" w:hAnsi="Calibri" w:cs="Calibri"/>
          <w:color w:val="000000"/>
          <w:sz w:val="20"/>
          <w:szCs w:val="20"/>
        </w:rPr>
        <w:t xml:space="preserve"> or other entities that receive funding from </w:t>
      </w:r>
      <w:r w:rsidR="0040450F" w:rsidRPr="00A00802">
        <w:rPr>
          <w:rFonts w:ascii="Calibri" w:eastAsia="Calibri" w:hAnsi="Calibri" w:cs="Calibri"/>
          <w:color w:val="000000"/>
          <w:sz w:val="20"/>
          <w:szCs w:val="20"/>
        </w:rPr>
        <w:t>T</w:t>
      </w:r>
      <w:r w:rsidRPr="00A00802">
        <w:rPr>
          <w:rFonts w:ascii="Calibri" w:eastAsia="Calibri" w:hAnsi="Calibri" w:cs="Calibri"/>
          <w:color w:val="000000"/>
          <w:sz w:val="20"/>
          <w:szCs w:val="20"/>
        </w:rPr>
        <w:t xml:space="preserve">he </w:t>
      </w:r>
      <w:r w:rsidR="0040450F" w:rsidRPr="00A00802">
        <w:rPr>
          <w:rFonts w:ascii="Calibri" w:eastAsia="Calibri" w:hAnsi="Calibri" w:cs="Calibri"/>
          <w:color w:val="000000"/>
          <w:sz w:val="20"/>
          <w:szCs w:val="20"/>
        </w:rPr>
        <w:t>I</w:t>
      </w:r>
      <w:r w:rsidRPr="00A00802">
        <w:rPr>
          <w:rFonts w:ascii="Calibri" w:eastAsia="Calibri" w:hAnsi="Calibri" w:cs="Calibri"/>
          <w:color w:val="000000"/>
          <w:sz w:val="20"/>
          <w:szCs w:val="20"/>
        </w:rPr>
        <w:t xml:space="preserve">ndustry or its affiliates pursuant to a court order or statutory directive or government taxation where </w:t>
      </w:r>
      <w:r w:rsidR="0040450F" w:rsidRPr="00A00802">
        <w:rPr>
          <w:rFonts w:ascii="Calibri" w:eastAsia="Calibri" w:hAnsi="Calibri" w:cs="Calibri"/>
          <w:color w:val="000000"/>
          <w:sz w:val="20"/>
          <w:szCs w:val="20"/>
        </w:rPr>
        <w:t>T</w:t>
      </w:r>
      <w:r w:rsidRPr="00A00802">
        <w:rPr>
          <w:rFonts w:ascii="Calibri" w:eastAsia="Calibri" w:hAnsi="Calibri" w:cs="Calibri"/>
          <w:color w:val="000000"/>
          <w:sz w:val="20"/>
          <w:szCs w:val="20"/>
        </w:rPr>
        <w:t xml:space="preserve">he </w:t>
      </w:r>
      <w:r w:rsidR="0040450F" w:rsidRPr="00A00802">
        <w:rPr>
          <w:rFonts w:ascii="Calibri" w:eastAsia="Calibri" w:hAnsi="Calibri" w:cs="Calibri"/>
          <w:color w:val="000000"/>
          <w:sz w:val="20"/>
          <w:szCs w:val="20"/>
        </w:rPr>
        <w:t>I</w:t>
      </w:r>
      <w:r w:rsidRPr="00A00802">
        <w:rPr>
          <w:rFonts w:ascii="Calibri" w:eastAsia="Calibri" w:hAnsi="Calibri" w:cs="Calibri"/>
          <w:color w:val="000000"/>
          <w:sz w:val="20"/>
          <w:szCs w:val="20"/>
        </w:rPr>
        <w:t>ndu</w:t>
      </w:r>
      <w:r w:rsidRPr="00A00802">
        <w:rPr>
          <w:rFonts w:ascii="Calibri" w:eastAsia="Calibri" w:hAnsi="Calibri" w:cs="Calibri"/>
          <w:sz w:val="20"/>
          <w:szCs w:val="20"/>
        </w:rPr>
        <w:t xml:space="preserve">stry source of the </w:t>
      </w:r>
      <w:r w:rsidRPr="00A00802">
        <w:rPr>
          <w:rFonts w:ascii="Calibri" w:eastAsia="Calibri" w:hAnsi="Calibri" w:cs="Calibri"/>
          <w:color w:val="000000"/>
          <w:sz w:val="20"/>
          <w:szCs w:val="20"/>
        </w:rPr>
        <w:t xml:space="preserve">funds does not retain any control over the use of such funds. </w:t>
      </w:r>
      <w:r w:rsidR="00EA6E06" w:rsidRPr="00A00802">
        <w:rPr>
          <w:rFonts w:ascii="Calibri" w:eastAsia="Calibri" w:hAnsi="Calibri" w:cs="Calibri"/>
          <w:sz w:val="20"/>
          <w:szCs w:val="20"/>
        </w:rPr>
        <w:t xml:space="preserve">Exceptions </w:t>
      </w:r>
      <w:r w:rsidR="00E720A2" w:rsidRPr="00A00802">
        <w:rPr>
          <w:rFonts w:ascii="Calibri" w:eastAsia="Calibri" w:hAnsi="Calibri" w:cs="Calibri"/>
          <w:sz w:val="20"/>
          <w:szCs w:val="20"/>
        </w:rPr>
        <w:t xml:space="preserve">to this policy </w:t>
      </w:r>
      <w:r w:rsidR="00EA6E06" w:rsidRPr="00A00802">
        <w:rPr>
          <w:rFonts w:ascii="Calibri" w:eastAsia="Calibri" w:hAnsi="Calibri" w:cs="Calibri"/>
          <w:sz w:val="20"/>
          <w:szCs w:val="20"/>
        </w:rPr>
        <w:t>include entities that are solely involved in the manufacturing, marketing, distribution or sale of</w:t>
      </w:r>
      <w:sdt>
        <w:sdtPr>
          <w:rPr>
            <w:sz w:val="24"/>
            <w:szCs w:val="24"/>
          </w:rPr>
          <w:tag w:val="goog_rdk_16"/>
          <w:id w:val="413293477"/>
        </w:sdtPr>
        <w:sdtContent>
          <w:r w:rsidR="00EA6E06" w:rsidRPr="00A00802">
            <w:rPr>
              <w:rFonts w:ascii="Calibri" w:eastAsia="Calibri" w:hAnsi="Calibri" w:cs="Calibri"/>
              <w:sz w:val="20"/>
              <w:szCs w:val="20"/>
            </w:rPr>
            <w:t xml:space="preserve"> </w:t>
          </w:r>
        </w:sdtContent>
      </w:sdt>
      <w:r w:rsidR="00EA6E06" w:rsidRPr="00A00802">
        <w:rPr>
          <w:rFonts w:ascii="Calibri" w:eastAsia="Calibri" w:hAnsi="Calibri" w:cs="Calibri"/>
          <w:color w:val="000000"/>
          <w:sz w:val="20"/>
          <w:szCs w:val="20"/>
        </w:rPr>
        <w:t xml:space="preserve">sacred/ceremonial tobacco or products that </w:t>
      </w:r>
      <w:r w:rsidR="00EA6E06" w:rsidRPr="00A00802">
        <w:rPr>
          <w:rFonts w:ascii="Calibri" w:eastAsia="Calibri" w:hAnsi="Calibri" w:cs="Calibri"/>
          <w:sz w:val="20"/>
          <w:szCs w:val="20"/>
        </w:rPr>
        <w:t>are therapeutic nicotine products</w:t>
      </w:r>
      <w:r w:rsidR="00EA6E06" w:rsidRPr="00A00802">
        <w:rPr>
          <w:rFonts w:ascii="Calibri" w:eastAsia="Calibri" w:hAnsi="Calibri" w:cs="Calibri"/>
          <w:color w:val="000000"/>
          <w:sz w:val="20"/>
          <w:szCs w:val="20"/>
        </w:rPr>
        <w:t xml:space="preserve">. </w:t>
      </w:r>
      <w:r w:rsidRPr="00A00802">
        <w:rPr>
          <w:rFonts w:ascii="Calibri" w:eastAsia="Calibri" w:hAnsi="Calibri" w:cs="Calibri"/>
          <w:color w:val="000000"/>
          <w:sz w:val="20"/>
          <w:szCs w:val="20"/>
        </w:rPr>
        <w:t>Sacred, ceremonial, or traditional tobacco is distinct from commercial tobacco. We recognise that some commercial tobacco products, such as commercially produced cigarettes, have been referred to as “traditional” or traditionally manufactured cigarettes but such language is confusing; commercially produced cigarettes are distinct from sacred, ceremonial, or traditional tobacco.</w:t>
      </w:r>
      <w:r w:rsidRPr="00A00802">
        <w:rPr>
          <w:rFonts w:ascii="Calibri" w:eastAsia="Calibri" w:hAnsi="Calibri" w:cs="Calibri"/>
          <w:color w:val="000000"/>
          <w:sz w:val="20"/>
          <w:szCs w:val="20"/>
          <w:vertAlign w:val="superscript"/>
        </w:rPr>
        <w:t>3</w:t>
      </w:r>
      <w:r w:rsidRPr="00A00802">
        <w:rPr>
          <w:rFonts w:ascii="Calibri" w:eastAsia="Calibri" w:hAnsi="Calibri" w:cs="Calibri"/>
          <w:color w:val="000000"/>
          <w:sz w:val="20"/>
          <w:szCs w:val="20"/>
        </w:rPr>
        <w:t xml:space="preserve"> Entities that manufacture nicotine-delivery products solely for </w:t>
      </w:r>
      <w:r w:rsidRPr="00A00802">
        <w:rPr>
          <w:rFonts w:ascii="Calibri" w:eastAsia="Calibri" w:hAnsi="Calibri" w:cs="Calibri"/>
          <w:sz w:val="20"/>
          <w:szCs w:val="20"/>
        </w:rPr>
        <w:t xml:space="preserve">approved </w:t>
      </w:r>
      <w:r w:rsidRPr="00A00802">
        <w:rPr>
          <w:rFonts w:ascii="Calibri" w:eastAsia="Calibri" w:hAnsi="Calibri" w:cs="Calibri"/>
          <w:color w:val="000000"/>
          <w:sz w:val="20"/>
          <w:szCs w:val="20"/>
        </w:rPr>
        <w:t>therapeutic purposes, in compliance with the World Health Organization Guidelines: Norms and Standards for Pharmaceuticals (i.e. – medicinal nicotine products)</w:t>
      </w:r>
      <w:r w:rsidRPr="00A00802">
        <w:rPr>
          <w:rFonts w:ascii="Calibri" w:eastAsia="Calibri" w:hAnsi="Calibri" w:cs="Calibri"/>
          <w:color w:val="000000"/>
          <w:sz w:val="20"/>
          <w:szCs w:val="20"/>
          <w:vertAlign w:val="superscript"/>
        </w:rPr>
        <w:footnoteReference w:id="15"/>
      </w:r>
      <w:r w:rsidRPr="00A00802">
        <w:rPr>
          <w:rFonts w:ascii="Calibri" w:eastAsia="Calibri" w:hAnsi="Calibri" w:cs="Calibri"/>
          <w:color w:val="000000"/>
          <w:sz w:val="20"/>
          <w:szCs w:val="20"/>
        </w:rPr>
        <w:t xml:space="preserve"> or otherwise regulated as a </w:t>
      </w:r>
      <w:r w:rsidRPr="00A00802">
        <w:rPr>
          <w:rFonts w:ascii="Calibri" w:eastAsia="Calibri" w:hAnsi="Calibri" w:cs="Calibri"/>
          <w:sz w:val="20"/>
          <w:szCs w:val="20"/>
        </w:rPr>
        <w:t>therapeutic product under</w:t>
      </w:r>
      <w:r w:rsidRPr="00A00802">
        <w:rPr>
          <w:rFonts w:ascii="Calibri" w:eastAsia="Calibri" w:hAnsi="Calibri" w:cs="Calibri"/>
          <w:color w:val="000000"/>
          <w:sz w:val="20"/>
          <w:szCs w:val="20"/>
        </w:rPr>
        <w:t xml:space="preserve"> government regulations, with no direct or indirect relationships with the commercial tobacco industry are classified as part of the pharmaceutical industry, and not part of the commercial tobacco or non-therapeutic nicotine industry.</w:t>
      </w:r>
      <w:r w:rsidRPr="00A00802">
        <w:rPr>
          <w:rFonts w:ascii="Calibri" w:eastAsia="Calibri" w:hAnsi="Calibri" w:cs="Calibri"/>
          <w:b/>
          <w:color w:val="000000"/>
          <w:sz w:val="20"/>
          <w:szCs w:val="20"/>
        </w:rPr>
        <w:t xml:space="preserve"> </w:t>
      </w:r>
    </w:p>
    <w:p w14:paraId="0000000A" w14:textId="77777777" w:rsidR="00F5679C" w:rsidRPr="00A00802" w:rsidRDefault="00592B00">
      <w:pPr>
        <w:pBdr>
          <w:top w:val="nil"/>
          <w:left w:val="nil"/>
          <w:bottom w:val="nil"/>
          <w:right w:val="nil"/>
          <w:between w:val="nil"/>
        </w:pBdr>
        <w:spacing w:after="0" w:line="240" w:lineRule="auto"/>
        <w:rPr>
          <w:rFonts w:ascii="Calibri" w:eastAsia="Calibri" w:hAnsi="Calibri" w:cs="Calibri"/>
          <w:b/>
          <w:color w:val="000000"/>
          <w:sz w:val="20"/>
          <w:szCs w:val="20"/>
        </w:rPr>
      </w:pPr>
      <w:r w:rsidRPr="00A00802">
        <w:rPr>
          <w:rFonts w:ascii="Calibri" w:eastAsia="Calibri" w:hAnsi="Calibri" w:cs="Calibri"/>
          <w:b/>
          <w:color w:val="000000"/>
          <w:sz w:val="20"/>
          <w:szCs w:val="20"/>
        </w:rPr>
        <w:t>(We acknowledge the SRNT Health Equity Network Racial Equity Committee/Workgroup for the basis of this definition, most of which we have adopted for our purposes)</w:t>
      </w:r>
    </w:p>
    <w:p w14:paraId="263EBD0B" w14:textId="7A78211B" w:rsidR="00497B50" w:rsidRDefault="00497B50">
      <w:pPr>
        <w:pBdr>
          <w:top w:val="nil"/>
          <w:left w:val="nil"/>
          <w:bottom w:val="nil"/>
          <w:right w:val="nil"/>
          <w:between w:val="nil"/>
        </w:pBdr>
        <w:spacing w:after="0" w:line="240" w:lineRule="auto"/>
        <w:rPr>
          <w:rFonts w:ascii="Calibri" w:eastAsia="Calibri" w:hAnsi="Calibri" w:cs="Calibri"/>
          <w:color w:val="000000"/>
          <w:sz w:val="18"/>
          <w:szCs w:val="18"/>
        </w:rPr>
      </w:pPr>
    </w:p>
    <w:sectPr w:rsidR="00497B5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AA6E" w14:textId="77777777" w:rsidR="004E113C" w:rsidRDefault="004E113C">
      <w:pPr>
        <w:spacing w:after="0" w:line="240" w:lineRule="auto"/>
      </w:pPr>
      <w:r>
        <w:separator/>
      </w:r>
    </w:p>
  </w:endnote>
  <w:endnote w:type="continuationSeparator" w:id="0">
    <w:p w14:paraId="6E33FEE5" w14:textId="77777777" w:rsidR="004E113C" w:rsidRDefault="004E1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AEB45C92-39B1-4043-87B9-46B548963572}"/>
    <w:embedBold r:id="rId2" w:fontKey="{A2E7E4B2-0404-4E1B-AD51-C08E9F3D06DA}"/>
    <w:embedItalic r:id="rId3" w:fontKey="{8D2FAD53-B74A-4221-9390-FB4F1D73E673}"/>
  </w:font>
  <w:font w:name="Aptos Display">
    <w:charset w:val="00"/>
    <w:family w:val="swiss"/>
    <w:pitch w:val="variable"/>
    <w:sig w:usb0="20000287" w:usb1="00000003" w:usb2="00000000" w:usb3="00000000" w:csb0="0000019F" w:csb1="00000000"/>
    <w:embedRegular r:id="rId4" w:fontKey="{DB1C1D4A-31CE-4629-A53A-3D440B99063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ABADCF46-4421-43A6-8BDC-AF1AA3EC449E}"/>
    <w:embedBold r:id="rId6" w:fontKey="{FFA45C60-B0F2-457E-8C1D-C4AA369F685F}"/>
  </w:font>
  <w:font w:name="Play">
    <w:charset w:val="00"/>
    <w:family w:val="auto"/>
    <w:pitch w:val="default"/>
    <w:embedRegular r:id="rId7" w:fontKey="{367ABEE1-F39F-438C-BFAE-70CC06A5A8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5601D" w14:textId="77777777" w:rsidR="004E113C" w:rsidRDefault="004E113C">
      <w:pPr>
        <w:spacing w:after="0" w:line="240" w:lineRule="auto"/>
      </w:pPr>
      <w:r>
        <w:separator/>
      </w:r>
    </w:p>
  </w:footnote>
  <w:footnote w:type="continuationSeparator" w:id="0">
    <w:p w14:paraId="5490082C" w14:textId="77777777" w:rsidR="004E113C" w:rsidRDefault="004E113C">
      <w:pPr>
        <w:spacing w:after="0" w:line="240" w:lineRule="auto"/>
      </w:pPr>
      <w:r>
        <w:continuationSeparator/>
      </w:r>
    </w:p>
  </w:footnote>
  <w:footnote w:id="1">
    <w:p w14:paraId="0000000B" w14:textId="77777777" w:rsidR="00F5679C" w:rsidRDefault="00592B00">
      <w:pPr>
        <w:pBdr>
          <w:top w:val="nil"/>
          <w:left w:val="nil"/>
          <w:bottom w:val="nil"/>
          <w:right w:val="nil"/>
          <w:between w:val="nil"/>
        </w:pBdr>
        <w:spacing w:after="0" w:line="240" w:lineRule="auto"/>
        <w:rPr>
          <w:rFonts w:ascii="Arial" w:eastAsia="Arial" w:hAnsi="Arial" w:cs="Arial"/>
          <w:color w:val="000000"/>
          <w:sz w:val="16"/>
          <w:szCs w:val="16"/>
        </w:rPr>
      </w:pPr>
      <w:r>
        <w:rPr>
          <w:rStyle w:val="FootnoteReference"/>
        </w:rPr>
        <w:footnoteRef/>
      </w:r>
      <w:r>
        <w:rPr>
          <w:rFonts w:ascii="Arial" w:eastAsia="Arial" w:hAnsi="Arial" w:cs="Arial"/>
          <w:color w:val="000000"/>
          <w:sz w:val="16"/>
          <w:szCs w:val="16"/>
        </w:rPr>
        <w:t xml:space="preserve"> </w:t>
      </w:r>
      <w:r w:rsidRPr="00210B4D">
        <w:rPr>
          <w:rFonts w:ascii="Arial" w:eastAsia="Arial" w:hAnsi="Arial" w:cs="Arial"/>
          <w:color w:val="2A2A2A"/>
          <w:sz w:val="17"/>
          <w:szCs w:val="17"/>
          <w:highlight w:val="white"/>
        </w:rPr>
        <w:t>Sixth Conference of the Parties to the WHO Framework Convention on Tobacco Control. Electronic nicotine delivery systems.</w:t>
      </w:r>
      <w:r>
        <w:rPr>
          <w:rFonts w:ascii="Arial" w:eastAsia="Arial" w:hAnsi="Arial" w:cs="Arial"/>
          <w:color w:val="000000"/>
          <w:sz w:val="16"/>
          <w:szCs w:val="16"/>
        </w:rPr>
        <w:t xml:space="preserve"> </w:t>
      </w:r>
      <w:hyperlink r:id="rId1">
        <w:r w:rsidR="00F5679C" w:rsidRPr="00210B4D">
          <w:rPr>
            <w:rFonts w:ascii="Arial" w:eastAsia="Arial" w:hAnsi="Arial" w:cs="Arial"/>
            <w:color w:val="006FB7"/>
            <w:sz w:val="17"/>
            <w:szCs w:val="17"/>
            <w:highlight w:val="white"/>
            <w:u w:val="single"/>
          </w:rPr>
          <w:t>https://apps.who.int/gb/fctc/PDF/cop6/FCTC_COP6_10Rev1-en.pdf</w:t>
        </w:r>
      </w:hyperlink>
      <w:r>
        <w:rPr>
          <w:rFonts w:ascii="Arial" w:eastAsia="Arial" w:hAnsi="Arial" w:cs="Arial"/>
          <w:color w:val="000000"/>
          <w:sz w:val="16"/>
          <w:szCs w:val="16"/>
        </w:rPr>
        <w:t xml:space="preserve"> </w:t>
      </w:r>
    </w:p>
  </w:footnote>
  <w:footnote w:id="2">
    <w:p w14:paraId="0000000E" w14:textId="1572A0B3" w:rsidR="00F5679C" w:rsidRDefault="00592B00">
      <w:pPr>
        <w:spacing w:after="0" w:line="240" w:lineRule="auto"/>
        <w:rPr>
          <w:sz w:val="6"/>
          <w:szCs w:val="6"/>
        </w:rPr>
      </w:pPr>
      <w:r>
        <w:rPr>
          <w:rStyle w:val="FootnoteReference"/>
        </w:rPr>
        <w:footnoteRef/>
      </w:r>
      <w:r>
        <w:rPr>
          <w:rFonts w:ascii="Arial" w:eastAsia="Arial" w:hAnsi="Arial" w:cs="Arial"/>
          <w:color w:val="2A2A2A"/>
          <w:sz w:val="17"/>
          <w:szCs w:val="17"/>
          <w:highlight w:val="white"/>
        </w:rPr>
        <w:t xml:space="preserve"> </w:t>
      </w:r>
      <w:bookmarkStart w:id="0" w:name="_Hlk182249506"/>
      <w:r>
        <w:rPr>
          <w:rFonts w:ascii="Arial" w:eastAsia="Arial" w:hAnsi="Arial" w:cs="Arial"/>
          <w:color w:val="2A2A2A"/>
          <w:sz w:val="17"/>
          <w:szCs w:val="17"/>
          <w:highlight w:val="white"/>
        </w:rPr>
        <w:t>Rose</w:t>
      </w:r>
      <w:r w:rsidR="00210B4D">
        <w:rPr>
          <w:rFonts w:ascii="Arial" w:eastAsia="Arial" w:hAnsi="Arial" w:cs="Arial"/>
          <w:color w:val="2A2A2A"/>
          <w:sz w:val="17"/>
          <w:szCs w:val="17"/>
          <w:highlight w:val="white"/>
        </w:rPr>
        <w:t xml:space="preserve"> SW</w:t>
      </w:r>
      <w:r>
        <w:rPr>
          <w:rFonts w:ascii="Arial" w:eastAsia="Arial" w:hAnsi="Arial" w:cs="Arial"/>
          <w:color w:val="2A2A2A"/>
          <w:sz w:val="17"/>
          <w:szCs w:val="17"/>
          <w:highlight w:val="white"/>
        </w:rPr>
        <w:t>, Tan</w:t>
      </w:r>
      <w:r w:rsidR="00210B4D">
        <w:rPr>
          <w:rFonts w:ascii="Arial" w:eastAsia="Arial" w:hAnsi="Arial" w:cs="Arial"/>
          <w:color w:val="2A2A2A"/>
          <w:sz w:val="17"/>
          <w:szCs w:val="17"/>
          <w:highlight w:val="white"/>
        </w:rPr>
        <w:t xml:space="preserve"> ASL</w:t>
      </w:r>
      <w:r>
        <w:rPr>
          <w:rFonts w:ascii="Arial" w:eastAsia="Arial" w:hAnsi="Arial" w:cs="Arial"/>
          <w:color w:val="2A2A2A"/>
          <w:sz w:val="17"/>
          <w:szCs w:val="17"/>
          <w:highlight w:val="white"/>
        </w:rPr>
        <w:t>, Bandi</w:t>
      </w:r>
      <w:r w:rsidR="00210B4D">
        <w:rPr>
          <w:rFonts w:ascii="Arial" w:eastAsia="Arial" w:hAnsi="Arial" w:cs="Arial"/>
          <w:color w:val="2A2A2A"/>
          <w:sz w:val="17"/>
          <w:szCs w:val="17"/>
          <w:highlight w:val="white"/>
        </w:rPr>
        <w:t xml:space="preserve"> P</w:t>
      </w:r>
      <w:r>
        <w:rPr>
          <w:rFonts w:ascii="Arial" w:eastAsia="Arial" w:hAnsi="Arial" w:cs="Arial"/>
          <w:color w:val="2A2A2A"/>
          <w:sz w:val="17"/>
          <w:szCs w:val="17"/>
          <w:highlight w:val="white"/>
        </w:rPr>
        <w:t>, Maddox</w:t>
      </w:r>
      <w:r w:rsidR="00210B4D">
        <w:rPr>
          <w:rFonts w:ascii="Arial" w:eastAsia="Arial" w:hAnsi="Arial" w:cs="Arial"/>
          <w:color w:val="2A2A2A"/>
          <w:sz w:val="17"/>
          <w:szCs w:val="17"/>
          <w:highlight w:val="white"/>
        </w:rPr>
        <w:t xml:space="preserve"> R</w:t>
      </w:r>
      <w:r>
        <w:rPr>
          <w:rFonts w:ascii="Arial" w:eastAsia="Arial" w:hAnsi="Arial" w:cs="Arial"/>
          <w:color w:val="2A2A2A"/>
          <w:sz w:val="17"/>
          <w:szCs w:val="17"/>
          <w:highlight w:val="white"/>
        </w:rPr>
        <w:t>, Berman</w:t>
      </w:r>
      <w:r w:rsidR="00210B4D">
        <w:rPr>
          <w:rFonts w:ascii="Arial" w:eastAsia="Arial" w:hAnsi="Arial" w:cs="Arial"/>
          <w:color w:val="2A2A2A"/>
          <w:sz w:val="17"/>
          <w:szCs w:val="17"/>
          <w:highlight w:val="white"/>
        </w:rPr>
        <w:t xml:space="preserve"> M</w:t>
      </w:r>
      <w:r>
        <w:rPr>
          <w:rFonts w:ascii="Arial" w:eastAsia="Arial" w:hAnsi="Arial" w:cs="Arial"/>
          <w:color w:val="2A2A2A"/>
          <w:sz w:val="17"/>
          <w:szCs w:val="17"/>
          <w:highlight w:val="white"/>
        </w:rPr>
        <w:t>, Czaplicki</w:t>
      </w:r>
      <w:r w:rsidR="00210B4D">
        <w:rPr>
          <w:rFonts w:ascii="Arial" w:eastAsia="Arial" w:hAnsi="Arial" w:cs="Arial"/>
          <w:color w:val="2A2A2A"/>
          <w:sz w:val="17"/>
          <w:szCs w:val="17"/>
          <w:highlight w:val="white"/>
        </w:rPr>
        <w:t xml:space="preserve"> L</w:t>
      </w:r>
      <w:r>
        <w:rPr>
          <w:rFonts w:ascii="Arial" w:eastAsia="Arial" w:hAnsi="Arial" w:cs="Arial"/>
          <w:color w:val="2A2A2A"/>
          <w:sz w:val="17"/>
          <w:szCs w:val="17"/>
          <w:highlight w:val="white"/>
        </w:rPr>
        <w:t>, Faseru</w:t>
      </w:r>
      <w:r w:rsidR="00210B4D">
        <w:rPr>
          <w:rFonts w:ascii="Arial" w:eastAsia="Arial" w:hAnsi="Arial" w:cs="Arial"/>
          <w:color w:val="2A2A2A"/>
          <w:sz w:val="17"/>
          <w:szCs w:val="17"/>
          <w:highlight w:val="white"/>
        </w:rPr>
        <w:t xml:space="preserve"> B</w:t>
      </w:r>
      <w:r>
        <w:rPr>
          <w:rFonts w:ascii="Arial" w:eastAsia="Arial" w:hAnsi="Arial" w:cs="Arial"/>
          <w:color w:val="2A2A2A"/>
          <w:sz w:val="17"/>
          <w:szCs w:val="17"/>
          <w:highlight w:val="white"/>
        </w:rPr>
        <w:t>, Frazer</w:t>
      </w:r>
      <w:r w:rsidR="00210B4D">
        <w:rPr>
          <w:rFonts w:ascii="Arial" w:eastAsia="Arial" w:hAnsi="Arial" w:cs="Arial"/>
          <w:color w:val="2A2A2A"/>
          <w:sz w:val="17"/>
          <w:szCs w:val="17"/>
          <w:highlight w:val="white"/>
        </w:rPr>
        <w:t xml:space="preserve"> K</w:t>
      </w:r>
      <w:r>
        <w:rPr>
          <w:rFonts w:ascii="Arial" w:eastAsia="Arial" w:hAnsi="Arial" w:cs="Arial"/>
          <w:color w:val="2A2A2A"/>
          <w:sz w:val="17"/>
          <w:szCs w:val="17"/>
          <w:highlight w:val="white"/>
        </w:rPr>
        <w:t>, Choi</w:t>
      </w:r>
      <w:r w:rsidR="00210B4D">
        <w:rPr>
          <w:rFonts w:ascii="Arial" w:eastAsia="Arial" w:hAnsi="Arial" w:cs="Arial"/>
          <w:color w:val="2A2A2A"/>
          <w:sz w:val="17"/>
          <w:szCs w:val="17"/>
          <w:highlight w:val="white"/>
        </w:rPr>
        <w:t xml:space="preserve"> K.</w:t>
      </w:r>
      <w:r>
        <w:rPr>
          <w:rFonts w:ascii="Arial" w:eastAsia="Arial" w:hAnsi="Arial" w:cs="Arial"/>
          <w:color w:val="2A2A2A"/>
          <w:sz w:val="17"/>
          <w:szCs w:val="17"/>
          <w:highlight w:val="white"/>
        </w:rPr>
        <w:t xml:space="preserve"> Commercial Tobacco and Nicotine Industry-Funded Research Has No Place in SRNT and Nicotine &amp; Tobacco Research, </w:t>
      </w:r>
      <w:r w:rsidRPr="00210B4D">
        <w:rPr>
          <w:rFonts w:ascii="Arial" w:eastAsia="Arial" w:hAnsi="Arial" w:cs="Arial"/>
          <w:color w:val="2A2A2A"/>
          <w:sz w:val="17"/>
          <w:szCs w:val="17"/>
          <w:highlight w:val="white"/>
        </w:rPr>
        <w:t>Nicotine &amp; Tobacco Research</w:t>
      </w:r>
      <w:r w:rsidR="00210B4D">
        <w:rPr>
          <w:rFonts w:ascii="Arial" w:eastAsia="Arial" w:hAnsi="Arial" w:cs="Arial"/>
          <w:color w:val="2A2A2A"/>
          <w:sz w:val="17"/>
          <w:szCs w:val="17"/>
          <w:highlight w:val="white"/>
        </w:rPr>
        <w:t xml:space="preserve"> 2024</w:t>
      </w:r>
      <w:r>
        <w:rPr>
          <w:rFonts w:ascii="Arial" w:eastAsia="Arial" w:hAnsi="Arial" w:cs="Arial"/>
          <w:color w:val="2A2A2A"/>
          <w:sz w:val="17"/>
          <w:szCs w:val="17"/>
          <w:highlight w:val="white"/>
        </w:rPr>
        <w:t>, 26</w:t>
      </w:r>
      <w:r w:rsidR="00210B4D">
        <w:rPr>
          <w:rFonts w:ascii="Arial" w:eastAsia="Arial" w:hAnsi="Arial" w:cs="Arial"/>
          <w:color w:val="2A2A2A"/>
          <w:sz w:val="17"/>
          <w:szCs w:val="17"/>
          <w:highlight w:val="white"/>
        </w:rPr>
        <w:t>(</w:t>
      </w:r>
      <w:r>
        <w:rPr>
          <w:rFonts w:ascii="Arial" w:eastAsia="Arial" w:hAnsi="Arial" w:cs="Arial"/>
          <w:color w:val="2A2A2A"/>
          <w:sz w:val="17"/>
          <w:szCs w:val="17"/>
          <w:highlight w:val="white"/>
        </w:rPr>
        <w:t>8</w:t>
      </w:r>
      <w:r w:rsidR="00210B4D">
        <w:rPr>
          <w:rFonts w:ascii="Arial" w:eastAsia="Arial" w:hAnsi="Arial" w:cs="Arial"/>
          <w:color w:val="2A2A2A"/>
          <w:sz w:val="17"/>
          <w:szCs w:val="17"/>
          <w:highlight w:val="white"/>
        </w:rPr>
        <w:t xml:space="preserve">): </w:t>
      </w:r>
      <w:r>
        <w:rPr>
          <w:rFonts w:ascii="Arial" w:eastAsia="Arial" w:hAnsi="Arial" w:cs="Arial"/>
          <w:color w:val="2A2A2A"/>
          <w:sz w:val="17"/>
          <w:szCs w:val="17"/>
          <w:highlight w:val="white"/>
        </w:rPr>
        <w:t>963–965</w:t>
      </w:r>
      <w:r w:rsidR="00210B4D">
        <w:rPr>
          <w:rFonts w:ascii="Arial" w:eastAsia="Arial" w:hAnsi="Arial" w:cs="Arial"/>
          <w:color w:val="2A2A2A"/>
          <w:sz w:val="17"/>
          <w:szCs w:val="17"/>
          <w:highlight w:val="white"/>
        </w:rPr>
        <w:t>.</w:t>
      </w:r>
      <w:r>
        <w:rPr>
          <w:rFonts w:ascii="Arial" w:eastAsia="Arial" w:hAnsi="Arial" w:cs="Arial"/>
          <w:color w:val="2A2A2A"/>
          <w:sz w:val="17"/>
          <w:szCs w:val="17"/>
          <w:highlight w:val="white"/>
        </w:rPr>
        <w:t xml:space="preserve"> </w:t>
      </w:r>
      <w:hyperlink r:id="rId2">
        <w:r w:rsidR="00F5679C">
          <w:rPr>
            <w:rFonts w:ascii="Arial" w:eastAsia="Arial" w:hAnsi="Arial" w:cs="Arial"/>
            <w:color w:val="006FB7"/>
            <w:sz w:val="17"/>
            <w:szCs w:val="17"/>
            <w:highlight w:val="white"/>
            <w:u w:val="single"/>
          </w:rPr>
          <w:t>https://doi.org/10.1093/ntr/ntae109</w:t>
        </w:r>
      </w:hyperlink>
      <w:bookmarkEnd w:id="0"/>
    </w:p>
  </w:footnote>
  <w:footnote w:id="3">
    <w:p w14:paraId="0000000F" w14:textId="0707BFD9" w:rsidR="00F5679C" w:rsidRDefault="00592B00">
      <w:pPr>
        <w:spacing w:after="0" w:line="240" w:lineRule="auto"/>
        <w:rPr>
          <w:sz w:val="20"/>
          <w:szCs w:val="20"/>
        </w:rPr>
      </w:pPr>
      <w:r>
        <w:rPr>
          <w:rStyle w:val="FootnoteReference"/>
        </w:rPr>
        <w:footnoteRef/>
      </w:r>
      <w:r>
        <w:rPr>
          <w:sz w:val="20"/>
          <w:szCs w:val="20"/>
        </w:rPr>
        <w:t xml:space="preserve"> </w:t>
      </w:r>
      <w:r>
        <w:rPr>
          <w:rFonts w:ascii="Arial" w:eastAsia="Arial" w:hAnsi="Arial" w:cs="Arial"/>
          <w:color w:val="2A2A2A"/>
          <w:sz w:val="17"/>
          <w:szCs w:val="17"/>
          <w:highlight w:val="white"/>
        </w:rPr>
        <w:t>Moodie R</w:t>
      </w:r>
      <w:r w:rsidR="00AA3A2B">
        <w:rPr>
          <w:rFonts w:ascii="Arial" w:eastAsia="Arial" w:hAnsi="Arial" w:cs="Arial"/>
          <w:color w:val="2A2A2A"/>
          <w:sz w:val="17"/>
          <w:szCs w:val="17"/>
          <w:highlight w:val="white"/>
        </w:rPr>
        <w:t>., Stuckler D, Monteiro C.,</w:t>
      </w:r>
      <w:r>
        <w:rPr>
          <w:rFonts w:ascii="Arial" w:eastAsia="Arial" w:hAnsi="Arial" w:cs="Arial"/>
          <w:color w:val="2A2A2A"/>
          <w:sz w:val="17"/>
          <w:szCs w:val="17"/>
          <w:highlight w:val="white"/>
        </w:rPr>
        <w:t xml:space="preserve"> et al. Profits and pandemics: prevention of harmful effects of tobacco, alcohol, and ultra-processed food and drink industries. </w:t>
      </w:r>
      <w:r w:rsidRPr="006840E2">
        <w:rPr>
          <w:rFonts w:ascii="Arial" w:eastAsia="Arial" w:hAnsi="Arial" w:cs="Arial"/>
          <w:i/>
          <w:iCs/>
          <w:color w:val="2A2A2A"/>
          <w:sz w:val="17"/>
          <w:szCs w:val="17"/>
          <w:highlight w:val="white"/>
        </w:rPr>
        <w:t>The Lancet</w:t>
      </w:r>
      <w:r w:rsidR="00210B4D">
        <w:rPr>
          <w:rFonts w:ascii="Arial" w:eastAsia="Arial" w:hAnsi="Arial" w:cs="Arial"/>
          <w:i/>
          <w:iCs/>
          <w:color w:val="2A2A2A"/>
          <w:sz w:val="17"/>
          <w:szCs w:val="17"/>
          <w:highlight w:val="white"/>
        </w:rPr>
        <w:t xml:space="preserve"> </w:t>
      </w:r>
      <w:r w:rsidR="00210B4D">
        <w:rPr>
          <w:rFonts w:ascii="Arial" w:eastAsia="Arial" w:hAnsi="Arial" w:cs="Arial"/>
          <w:color w:val="2A2A2A"/>
          <w:sz w:val="17"/>
          <w:szCs w:val="17"/>
          <w:highlight w:val="white"/>
        </w:rPr>
        <w:t>2013</w:t>
      </w:r>
      <w:r>
        <w:rPr>
          <w:rFonts w:ascii="Arial" w:eastAsia="Arial" w:hAnsi="Arial" w:cs="Arial"/>
          <w:color w:val="2A2A2A"/>
          <w:sz w:val="17"/>
          <w:szCs w:val="17"/>
          <w:highlight w:val="white"/>
        </w:rPr>
        <w:t>, 381</w:t>
      </w:r>
      <w:r w:rsidR="006840E2">
        <w:rPr>
          <w:rFonts w:ascii="Arial" w:eastAsia="Arial" w:hAnsi="Arial" w:cs="Arial"/>
          <w:color w:val="2A2A2A"/>
          <w:sz w:val="17"/>
          <w:szCs w:val="17"/>
          <w:highlight w:val="white"/>
        </w:rPr>
        <w:t>(</w:t>
      </w:r>
      <w:r>
        <w:rPr>
          <w:rFonts w:ascii="Arial" w:eastAsia="Arial" w:hAnsi="Arial" w:cs="Arial"/>
          <w:color w:val="2A2A2A"/>
          <w:sz w:val="17"/>
          <w:szCs w:val="17"/>
          <w:highlight w:val="white"/>
        </w:rPr>
        <w:t>9867</w:t>
      </w:r>
      <w:r w:rsidR="006840E2">
        <w:rPr>
          <w:rFonts w:ascii="Arial" w:eastAsia="Arial" w:hAnsi="Arial" w:cs="Arial"/>
          <w:color w:val="2A2A2A"/>
          <w:sz w:val="17"/>
          <w:szCs w:val="17"/>
          <w:highlight w:val="white"/>
        </w:rPr>
        <w:t>):</w:t>
      </w:r>
      <w:r>
        <w:rPr>
          <w:rFonts w:ascii="Arial" w:eastAsia="Arial" w:hAnsi="Arial" w:cs="Arial"/>
          <w:color w:val="2A2A2A"/>
          <w:sz w:val="17"/>
          <w:szCs w:val="17"/>
          <w:highlight w:val="white"/>
        </w:rPr>
        <w:t xml:space="preserve"> 670 - 679, </w:t>
      </w:r>
      <w:r w:rsidR="003513ED" w:rsidRPr="003513ED">
        <w:rPr>
          <w:rFonts w:ascii="Arial" w:eastAsia="Arial" w:hAnsi="Arial" w:cs="Arial"/>
          <w:color w:val="1155CC"/>
          <w:sz w:val="17"/>
          <w:szCs w:val="17"/>
          <w:u w:val="single"/>
        </w:rPr>
        <w:t>https://www.thelancet.com/journals/lancet/article/PIIS0140-6736(12)62089-3/abstract</w:t>
      </w:r>
    </w:p>
  </w:footnote>
  <w:footnote w:id="4">
    <w:p w14:paraId="00000011" w14:textId="0C5B98A4" w:rsidR="00F5679C" w:rsidRPr="003513ED" w:rsidRDefault="00592B00">
      <w:pPr>
        <w:spacing w:after="0" w:line="240" w:lineRule="auto"/>
        <w:rPr>
          <w:rFonts w:ascii="Arial" w:eastAsia="Arial" w:hAnsi="Arial" w:cs="Arial"/>
          <w:color w:val="1155CC"/>
          <w:sz w:val="17"/>
          <w:szCs w:val="17"/>
          <w:u w:val="single"/>
        </w:rPr>
      </w:pPr>
      <w:r>
        <w:rPr>
          <w:rStyle w:val="FootnoteReference"/>
        </w:rPr>
        <w:footnoteRef/>
      </w:r>
      <w:r>
        <w:rPr>
          <w:sz w:val="16"/>
          <w:szCs w:val="16"/>
        </w:rPr>
        <w:t xml:space="preserve"> </w:t>
      </w:r>
      <w:r w:rsidR="007E2A87" w:rsidRPr="007E2A87">
        <w:rPr>
          <w:rFonts w:ascii="Arial" w:eastAsia="Arial" w:hAnsi="Arial" w:cs="Arial"/>
          <w:color w:val="2A2A2A"/>
          <w:sz w:val="17"/>
          <w:szCs w:val="17"/>
          <w:highlight w:val="white"/>
        </w:rPr>
        <w:t xml:space="preserve">Accessed 11 </w:t>
      </w:r>
      <w:proofErr w:type="gramStart"/>
      <w:r w:rsidR="007E2A87" w:rsidRPr="007E2A87">
        <w:rPr>
          <w:rFonts w:ascii="Arial" w:eastAsia="Arial" w:hAnsi="Arial" w:cs="Arial"/>
          <w:color w:val="2A2A2A"/>
          <w:sz w:val="17"/>
          <w:szCs w:val="17"/>
          <w:highlight w:val="white"/>
        </w:rPr>
        <w:t>November,</w:t>
      </w:r>
      <w:proofErr w:type="gramEnd"/>
      <w:r w:rsidR="007E2A87" w:rsidRPr="007E2A87">
        <w:rPr>
          <w:rFonts w:ascii="Arial" w:eastAsia="Arial" w:hAnsi="Arial" w:cs="Arial"/>
          <w:color w:val="2A2A2A"/>
          <w:sz w:val="17"/>
          <w:szCs w:val="17"/>
          <w:highlight w:val="white"/>
        </w:rPr>
        <w:t xml:space="preserve"> 2024.</w:t>
      </w:r>
      <w:r w:rsidR="007E2A87">
        <w:rPr>
          <w:sz w:val="16"/>
          <w:szCs w:val="16"/>
        </w:rPr>
        <w:t xml:space="preserve"> </w:t>
      </w:r>
      <w:hyperlink r:id="rId3" w:history="1">
        <w:r w:rsidR="007E2A87" w:rsidRPr="002C7FED">
          <w:rPr>
            <w:rStyle w:val="Hyperlink"/>
            <w:rFonts w:ascii="Arial" w:eastAsia="Arial" w:hAnsi="Arial" w:cs="Arial"/>
            <w:sz w:val="17"/>
            <w:szCs w:val="17"/>
          </w:rPr>
          <w:t>https://www.phcc.org.nz/briefing/two-faced-tobacco-industry-transformation-and-cigarillos</w:t>
        </w:r>
      </w:hyperlink>
    </w:p>
  </w:footnote>
  <w:footnote w:id="5">
    <w:p w14:paraId="00000010" w14:textId="2D0CC9A1" w:rsidR="00F5679C" w:rsidRDefault="00592B00">
      <w:pPr>
        <w:spacing w:after="0" w:line="240" w:lineRule="auto"/>
        <w:rPr>
          <w:rFonts w:ascii="Arial" w:eastAsia="Arial" w:hAnsi="Arial" w:cs="Arial"/>
          <w:color w:val="2A2A2A"/>
          <w:sz w:val="17"/>
          <w:szCs w:val="17"/>
          <w:highlight w:val="white"/>
        </w:rPr>
      </w:pPr>
      <w:r>
        <w:rPr>
          <w:rStyle w:val="FootnoteReference"/>
        </w:rPr>
        <w:footnoteRef/>
      </w:r>
      <w:r>
        <w:rPr>
          <w:sz w:val="20"/>
          <w:szCs w:val="20"/>
        </w:rPr>
        <w:t xml:space="preserve"> </w:t>
      </w:r>
      <w:r>
        <w:rPr>
          <w:rFonts w:ascii="Arial" w:eastAsia="Arial" w:hAnsi="Arial" w:cs="Arial"/>
          <w:color w:val="2A2A2A"/>
          <w:sz w:val="17"/>
          <w:szCs w:val="17"/>
          <w:highlight w:val="white"/>
        </w:rPr>
        <w:t xml:space="preserve">Vassey, Julia, et al. "Influence of disclosed and undisclosed funding sources in tobacco harm reduction discourse: a social network analysis." </w:t>
      </w:r>
      <w:r w:rsidRPr="00D53A6F">
        <w:rPr>
          <w:rFonts w:ascii="Arial" w:eastAsia="Arial" w:hAnsi="Arial" w:cs="Arial"/>
          <w:i/>
          <w:iCs/>
          <w:color w:val="2A2A2A"/>
          <w:sz w:val="17"/>
          <w:szCs w:val="17"/>
          <w:highlight w:val="white"/>
        </w:rPr>
        <w:t>Nicotine and Tobacco Research</w:t>
      </w:r>
      <w:r>
        <w:rPr>
          <w:rFonts w:ascii="Arial" w:eastAsia="Arial" w:hAnsi="Arial" w:cs="Arial"/>
          <w:color w:val="2A2A2A"/>
          <w:sz w:val="17"/>
          <w:szCs w:val="17"/>
          <w:highlight w:val="white"/>
        </w:rPr>
        <w:t xml:space="preserve"> </w:t>
      </w:r>
      <w:r w:rsidR="00D53A6F">
        <w:rPr>
          <w:rFonts w:ascii="Arial" w:eastAsia="Arial" w:hAnsi="Arial" w:cs="Arial"/>
          <w:color w:val="2A2A2A"/>
          <w:sz w:val="17"/>
          <w:szCs w:val="17"/>
          <w:highlight w:val="white"/>
        </w:rPr>
        <w:t>2023</w:t>
      </w:r>
      <w:r w:rsidR="006840E2">
        <w:rPr>
          <w:rFonts w:ascii="Arial" w:eastAsia="Arial" w:hAnsi="Arial" w:cs="Arial"/>
          <w:color w:val="2A2A2A"/>
          <w:sz w:val="17"/>
          <w:szCs w:val="17"/>
          <w:highlight w:val="white"/>
        </w:rPr>
        <w:t xml:space="preserve">; </w:t>
      </w:r>
      <w:r>
        <w:rPr>
          <w:rFonts w:ascii="Arial" w:eastAsia="Arial" w:hAnsi="Arial" w:cs="Arial"/>
          <w:color w:val="2A2A2A"/>
          <w:sz w:val="17"/>
          <w:szCs w:val="17"/>
          <w:highlight w:val="white"/>
        </w:rPr>
        <w:t>25</w:t>
      </w:r>
      <w:r w:rsidR="00D53A6F">
        <w:rPr>
          <w:rFonts w:ascii="Arial" w:eastAsia="Arial" w:hAnsi="Arial" w:cs="Arial"/>
          <w:color w:val="2A2A2A"/>
          <w:sz w:val="17"/>
          <w:szCs w:val="17"/>
          <w:highlight w:val="white"/>
        </w:rPr>
        <w:t>(</w:t>
      </w:r>
      <w:r>
        <w:rPr>
          <w:rFonts w:ascii="Arial" w:eastAsia="Arial" w:hAnsi="Arial" w:cs="Arial"/>
          <w:color w:val="2A2A2A"/>
          <w:sz w:val="17"/>
          <w:szCs w:val="17"/>
          <w:highlight w:val="white"/>
        </w:rPr>
        <w:t>12</w:t>
      </w:r>
      <w:r w:rsidR="00D53A6F">
        <w:rPr>
          <w:rFonts w:ascii="Arial" w:eastAsia="Arial" w:hAnsi="Arial" w:cs="Arial"/>
          <w:color w:val="2A2A2A"/>
          <w:sz w:val="17"/>
          <w:szCs w:val="17"/>
          <w:highlight w:val="white"/>
        </w:rPr>
        <w:t>)</w:t>
      </w:r>
      <w:r w:rsidR="006840E2">
        <w:rPr>
          <w:rFonts w:ascii="Arial" w:eastAsia="Arial" w:hAnsi="Arial" w:cs="Arial"/>
          <w:color w:val="2A2A2A"/>
          <w:sz w:val="17"/>
          <w:szCs w:val="17"/>
          <w:highlight w:val="white"/>
        </w:rPr>
        <w:t>:</w:t>
      </w:r>
      <w:r>
        <w:rPr>
          <w:rFonts w:ascii="Arial" w:eastAsia="Arial" w:hAnsi="Arial" w:cs="Arial"/>
          <w:color w:val="2A2A2A"/>
          <w:sz w:val="17"/>
          <w:szCs w:val="17"/>
          <w:highlight w:val="white"/>
        </w:rPr>
        <w:t xml:space="preserve"> 1829-1837. </w:t>
      </w:r>
      <w:hyperlink r:id="rId4">
        <w:r w:rsidR="00F5679C">
          <w:rPr>
            <w:rFonts w:ascii="Arial" w:eastAsia="Arial" w:hAnsi="Arial" w:cs="Arial"/>
            <w:color w:val="1155CC"/>
            <w:sz w:val="17"/>
            <w:szCs w:val="17"/>
            <w:highlight w:val="white"/>
            <w:u w:val="single"/>
          </w:rPr>
          <w:t>https://doi.org/10.1093/ntr/ntac250</w:t>
        </w:r>
      </w:hyperlink>
    </w:p>
  </w:footnote>
  <w:footnote w:id="6">
    <w:p w14:paraId="0F07BA36" w14:textId="27A93F0C" w:rsidR="003B746E" w:rsidRPr="00A55E1B" w:rsidRDefault="00A55E1B" w:rsidP="00A55E1B">
      <w:pPr>
        <w:pStyle w:val="FootnoteText"/>
        <w:rPr>
          <w:lang w:val="en-US"/>
        </w:rPr>
      </w:pPr>
      <w:r>
        <w:rPr>
          <w:rStyle w:val="FootnoteReference"/>
        </w:rPr>
        <w:footnoteRef/>
      </w:r>
      <w:r>
        <w:t xml:space="preserve"> </w:t>
      </w:r>
      <w:r w:rsidRPr="00A55E1B">
        <w:rPr>
          <w:rFonts w:ascii="Arial" w:eastAsia="Arial" w:hAnsi="Arial" w:cs="Arial"/>
          <w:color w:val="2A2A2A"/>
          <w:sz w:val="17"/>
          <w:szCs w:val="17"/>
          <w:highlight w:val="white"/>
        </w:rPr>
        <w:t>Peeters S, Gilmore AB</w:t>
      </w:r>
      <w:r>
        <w:rPr>
          <w:rFonts w:ascii="Arial" w:eastAsia="Arial" w:hAnsi="Arial" w:cs="Arial"/>
          <w:color w:val="2A2A2A"/>
          <w:sz w:val="17"/>
          <w:szCs w:val="17"/>
          <w:highlight w:val="white"/>
        </w:rPr>
        <w:t>.</w:t>
      </w:r>
      <w:r w:rsidRPr="00A55E1B">
        <w:rPr>
          <w:rFonts w:ascii="Arial" w:eastAsia="Arial" w:hAnsi="Arial" w:cs="Arial"/>
          <w:color w:val="2A2A2A"/>
          <w:sz w:val="17"/>
          <w:szCs w:val="17"/>
          <w:highlight w:val="white"/>
        </w:rPr>
        <w:t xml:space="preserve"> Understanding the emergence of the tobacco industry’s use of the term tobacco harm reduction </w:t>
      </w:r>
      <w:proofErr w:type="gramStart"/>
      <w:r w:rsidRPr="00A55E1B">
        <w:rPr>
          <w:rFonts w:ascii="Arial" w:eastAsia="Arial" w:hAnsi="Arial" w:cs="Arial"/>
          <w:color w:val="2A2A2A"/>
          <w:sz w:val="17"/>
          <w:szCs w:val="17"/>
          <w:highlight w:val="white"/>
        </w:rPr>
        <w:t>in order to</w:t>
      </w:r>
      <w:proofErr w:type="gramEnd"/>
      <w:r w:rsidRPr="00A55E1B">
        <w:rPr>
          <w:rFonts w:ascii="Arial" w:eastAsia="Arial" w:hAnsi="Arial" w:cs="Arial"/>
          <w:color w:val="2A2A2A"/>
          <w:sz w:val="17"/>
          <w:szCs w:val="17"/>
          <w:highlight w:val="white"/>
        </w:rPr>
        <w:t xml:space="preserve"> inform public health policy. </w:t>
      </w:r>
      <w:r w:rsidRPr="00D53A6F">
        <w:rPr>
          <w:rFonts w:ascii="Arial" w:eastAsia="Arial" w:hAnsi="Arial" w:cs="Arial"/>
          <w:i/>
          <w:iCs/>
          <w:color w:val="2A2A2A"/>
          <w:sz w:val="17"/>
          <w:szCs w:val="17"/>
          <w:highlight w:val="white"/>
        </w:rPr>
        <w:t>Tob Control</w:t>
      </w:r>
      <w:r w:rsidRPr="00A55E1B">
        <w:rPr>
          <w:rFonts w:ascii="Arial" w:eastAsia="Arial" w:hAnsi="Arial" w:cs="Arial"/>
          <w:color w:val="2A2A2A"/>
          <w:sz w:val="17"/>
          <w:szCs w:val="17"/>
          <w:highlight w:val="white"/>
        </w:rPr>
        <w:t> 2015;</w:t>
      </w:r>
      <w:r w:rsidR="006840E2">
        <w:rPr>
          <w:rFonts w:ascii="Arial" w:eastAsia="Arial" w:hAnsi="Arial" w:cs="Arial"/>
          <w:color w:val="2A2A2A"/>
          <w:sz w:val="17"/>
          <w:szCs w:val="17"/>
          <w:highlight w:val="white"/>
        </w:rPr>
        <w:t xml:space="preserve"> </w:t>
      </w:r>
      <w:r w:rsidRPr="00A55E1B">
        <w:rPr>
          <w:rFonts w:ascii="Arial" w:eastAsia="Arial" w:hAnsi="Arial" w:cs="Arial"/>
          <w:color w:val="2A2A2A"/>
          <w:sz w:val="17"/>
          <w:szCs w:val="17"/>
          <w:highlight w:val="white"/>
        </w:rPr>
        <w:t>24:182–9.</w:t>
      </w:r>
      <w:r w:rsidRPr="00A55E1B">
        <w:t> </w:t>
      </w:r>
      <w:r w:rsidR="003B746E" w:rsidRPr="003B746E">
        <w:rPr>
          <w:rFonts w:ascii="Arial" w:eastAsia="Arial" w:hAnsi="Arial" w:cs="Arial"/>
          <w:color w:val="1155CC"/>
          <w:sz w:val="17"/>
          <w:szCs w:val="17"/>
          <w:highlight w:val="white"/>
          <w:u w:val="single"/>
        </w:rPr>
        <w:t>https://</w:t>
      </w:r>
      <w:hyperlink r:id="rId5" w:history="1">
        <w:r w:rsidRPr="003B746E">
          <w:rPr>
            <w:rFonts w:ascii="Arial" w:eastAsia="Arial" w:hAnsi="Arial" w:cs="Arial"/>
            <w:color w:val="1155CC"/>
            <w:sz w:val="17"/>
            <w:szCs w:val="17"/>
            <w:highlight w:val="white"/>
            <w:u w:val="single"/>
          </w:rPr>
          <w:t>doi:10.1136/tobaccocontrol-2013-05150</w:t>
        </w:r>
      </w:hyperlink>
    </w:p>
  </w:footnote>
  <w:footnote w:id="7">
    <w:p w14:paraId="292437E9" w14:textId="4F6914F1" w:rsidR="00FE062D" w:rsidRPr="00331B69" w:rsidRDefault="00FE062D" w:rsidP="00FE062D">
      <w:pPr>
        <w:pStyle w:val="FootnoteText"/>
        <w:rPr>
          <w:lang w:val="en-US"/>
        </w:rPr>
      </w:pPr>
      <w:r>
        <w:rPr>
          <w:rStyle w:val="FootnoteReference"/>
        </w:rPr>
        <w:footnoteRef/>
      </w:r>
      <w:r>
        <w:t xml:space="preserve"> </w:t>
      </w:r>
      <w:r w:rsidRPr="00331B69">
        <w:rPr>
          <w:rFonts w:ascii="Arial" w:eastAsia="Arial" w:hAnsi="Arial" w:cs="Arial"/>
          <w:color w:val="2A2A2A"/>
          <w:sz w:val="17"/>
          <w:szCs w:val="17"/>
          <w:highlight w:val="white"/>
        </w:rPr>
        <w:t>Dewhirst T</w:t>
      </w:r>
      <w:r>
        <w:rPr>
          <w:rFonts w:ascii="Arial" w:eastAsia="Arial" w:hAnsi="Arial" w:cs="Arial"/>
          <w:color w:val="2A2A2A"/>
          <w:sz w:val="17"/>
          <w:szCs w:val="17"/>
          <w:highlight w:val="white"/>
        </w:rPr>
        <w:t xml:space="preserve">. </w:t>
      </w:r>
      <w:r w:rsidRPr="00331B69">
        <w:rPr>
          <w:rFonts w:ascii="Arial" w:eastAsia="Arial" w:hAnsi="Arial" w:cs="Arial"/>
          <w:color w:val="2A2A2A"/>
          <w:sz w:val="17"/>
          <w:szCs w:val="17"/>
          <w:highlight w:val="white"/>
        </w:rPr>
        <w:t>Co-optation of harm reduction by Big Tobacco</w:t>
      </w:r>
      <w:r>
        <w:rPr>
          <w:rFonts w:ascii="Arial" w:eastAsia="Arial" w:hAnsi="Arial" w:cs="Arial"/>
          <w:color w:val="2A2A2A"/>
          <w:sz w:val="17"/>
          <w:szCs w:val="17"/>
          <w:highlight w:val="white"/>
        </w:rPr>
        <w:t xml:space="preserve">. </w:t>
      </w:r>
      <w:r w:rsidRPr="00331B69">
        <w:rPr>
          <w:rFonts w:ascii="Arial" w:eastAsia="Arial" w:hAnsi="Arial" w:cs="Arial"/>
          <w:i/>
          <w:iCs/>
          <w:color w:val="2A2A2A"/>
          <w:sz w:val="17"/>
          <w:szCs w:val="17"/>
          <w:highlight w:val="white"/>
        </w:rPr>
        <w:t>Tob Control</w:t>
      </w:r>
      <w:r w:rsidRPr="00331B69">
        <w:rPr>
          <w:rFonts w:ascii="Arial" w:eastAsia="Arial" w:hAnsi="Arial" w:cs="Arial"/>
          <w:color w:val="2A2A2A"/>
          <w:sz w:val="17"/>
          <w:szCs w:val="17"/>
          <w:highlight w:val="white"/>
        </w:rPr>
        <w:t> 2021;</w:t>
      </w:r>
      <w:proofErr w:type="gramStart"/>
      <w:r w:rsidRPr="00331B69">
        <w:rPr>
          <w:rFonts w:ascii="Arial" w:eastAsia="Arial" w:hAnsi="Arial" w:cs="Arial"/>
          <w:color w:val="2A2A2A"/>
          <w:sz w:val="17"/>
          <w:szCs w:val="17"/>
          <w:highlight w:val="white"/>
        </w:rPr>
        <w:t>30:e</w:t>
      </w:r>
      <w:proofErr w:type="gramEnd"/>
      <w:r w:rsidRPr="00331B69">
        <w:rPr>
          <w:rFonts w:ascii="Arial" w:eastAsia="Arial" w:hAnsi="Arial" w:cs="Arial"/>
          <w:color w:val="2A2A2A"/>
          <w:sz w:val="17"/>
          <w:szCs w:val="17"/>
          <w:highlight w:val="white"/>
        </w:rPr>
        <w:t>1-e3.</w:t>
      </w:r>
    </w:p>
  </w:footnote>
  <w:footnote w:id="8">
    <w:p w14:paraId="15A6F137" w14:textId="1E22B1DE" w:rsidR="00381176" w:rsidRPr="00381176" w:rsidRDefault="00381176" w:rsidP="00381176">
      <w:pPr>
        <w:pStyle w:val="FootnoteText"/>
        <w:rPr>
          <w:rFonts w:ascii="Arial" w:eastAsia="Arial" w:hAnsi="Arial" w:cs="Arial"/>
          <w:color w:val="1155CC"/>
          <w:sz w:val="17"/>
          <w:szCs w:val="17"/>
          <w:highlight w:val="white"/>
          <w:u w:val="single"/>
        </w:rPr>
      </w:pPr>
      <w:r>
        <w:rPr>
          <w:rStyle w:val="FootnoteReference"/>
        </w:rPr>
        <w:footnoteRef/>
      </w:r>
      <w:r>
        <w:t xml:space="preserve"> </w:t>
      </w:r>
      <w:r w:rsidRPr="00381176">
        <w:rPr>
          <w:rFonts w:ascii="Arial" w:eastAsia="Arial" w:hAnsi="Arial" w:cs="Arial"/>
          <w:color w:val="2A2A2A"/>
          <w:sz w:val="17"/>
          <w:szCs w:val="17"/>
          <w:highlight w:val="white"/>
        </w:rPr>
        <w:t>Edwards R, Hoek J, Karreman N, et al. Evaluating tobacco industry ‘transformation’: a proposed rubric and analysis. </w:t>
      </w:r>
      <w:r w:rsidRPr="00D32802">
        <w:rPr>
          <w:rFonts w:ascii="Arial" w:eastAsia="Arial" w:hAnsi="Arial" w:cs="Arial"/>
          <w:i/>
          <w:iCs/>
          <w:color w:val="2A2A2A"/>
          <w:sz w:val="17"/>
          <w:szCs w:val="17"/>
          <w:highlight w:val="white"/>
        </w:rPr>
        <w:t>Tob Control</w:t>
      </w:r>
      <w:r w:rsidRPr="00381176">
        <w:rPr>
          <w:rFonts w:ascii="Arial" w:eastAsia="Arial" w:hAnsi="Arial" w:cs="Arial"/>
          <w:color w:val="2A2A2A"/>
          <w:sz w:val="17"/>
          <w:szCs w:val="17"/>
          <w:highlight w:val="white"/>
        </w:rPr>
        <w:t> 2022;</w:t>
      </w:r>
      <w:r w:rsidR="00D32802">
        <w:rPr>
          <w:rFonts w:ascii="Arial" w:eastAsia="Arial" w:hAnsi="Arial" w:cs="Arial"/>
          <w:color w:val="2A2A2A"/>
          <w:sz w:val="17"/>
          <w:szCs w:val="17"/>
          <w:highlight w:val="white"/>
        </w:rPr>
        <w:t xml:space="preserve"> </w:t>
      </w:r>
      <w:r w:rsidRPr="00381176">
        <w:rPr>
          <w:rFonts w:ascii="Arial" w:eastAsia="Arial" w:hAnsi="Arial" w:cs="Arial"/>
          <w:color w:val="2A2A2A"/>
          <w:sz w:val="17"/>
          <w:szCs w:val="17"/>
          <w:highlight w:val="white"/>
        </w:rPr>
        <w:t>31:313–21. </w:t>
      </w:r>
      <w:r w:rsidRPr="00381176">
        <w:rPr>
          <w:rFonts w:ascii="Arial" w:eastAsia="Arial" w:hAnsi="Arial" w:cs="Arial"/>
          <w:color w:val="1155CC"/>
          <w:sz w:val="17"/>
          <w:szCs w:val="17"/>
          <w:highlight w:val="white"/>
          <w:u w:val="single"/>
        </w:rPr>
        <w:t>https://</w:t>
      </w:r>
      <w:hyperlink r:id="rId6" w:history="1">
        <w:r w:rsidRPr="00381176">
          <w:rPr>
            <w:rFonts w:ascii="Arial" w:eastAsia="Arial" w:hAnsi="Arial" w:cs="Arial"/>
            <w:color w:val="1155CC"/>
            <w:sz w:val="17"/>
            <w:szCs w:val="17"/>
            <w:highlight w:val="white"/>
            <w:u w:val="single"/>
          </w:rPr>
          <w:t>doi:10.1136/tobaccocontrol-2021-056687</w:t>
        </w:r>
      </w:hyperlink>
    </w:p>
  </w:footnote>
  <w:footnote w:id="9">
    <w:p w14:paraId="0000000D" w14:textId="3869C9D7" w:rsidR="00F5679C" w:rsidRDefault="00592B00">
      <w:pPr>
        <w:spacing w:after="0" w:line="240" w:lineRule="auto"/>
        <w:rPr>
          <w:sz w:val="14"/>
          <w:szCs w:val="14"/>
        </w:rPr>
      </w:pPr>
      <w:r>
        <w:rPr>
          <w:rStyle w:val="FootnoteReference"/>
        </w:rPr>
        <w:footnoteRef/>
      </w:r>
      <w:r>
        <w:rPr>
          <w:sz w:val="20"/>
          <w:szCs w:val="20"/>
        </w:rPr>
        <w:t xml:space="preserve"> </w:t>
      </w:r>
      <w:r>
        <w:rPr>
          <w:rFonts w:ascii="Arial" w:eastAsia="Arial" w:hAnsi="Arial" w:cs="Arial"/>
          <w:color w:val="2A2A2A"/>
          <w:sz w:val="17"/>
          <w:szCs w:val="17"/>
          <w:highlight w:val="white"/>
        </w:rPr>
        <w:t>Hill</w:t>
      </w:r>
      <w:r w:rsidR="00D32802">
        <w:rPr>
          <w:rFonts w:ascii="Arial" w:eastAsia="Arial" w:hAnsi="Arial" w:cs="Arial"/>
          <w:color w:val="2A2A2A"/>
          <w:sz w:val="17"/>
          <w:szCs w:val="17"/>
          <w:highlight w:val="white"/>
        </w:rPr>
        <w:t xml:space="preserve"> S</w:t>
      </w:r>
      <w:r>
        <w:rPr>
          <w:rFonts w:ascii="Arial" w:eastAsia="Arial" w:hAnsi="Arial" w:cs="Arial"/>
          <w:color w:val="2A2A2A"/>
          <w:sz w:val="17"/>
          <w:szCs w:val="17"/>
          <w:highlight w:val="white"/>
        </w:rPr>
        <w:t>, Chaiton</w:t>
      </w:r>
      <w:r w:rsidR="00D32802">
        <w:rPr>
          <w:rFonts w:ascii="Arial" w:eastAsia="Arial" w:hAnsi="Arial" w:cs="Arial"/>
          <w:color w:val="2A2A2A"/>
          <w:sz w:val="17"/>
          <w:szCs w:val="17"/>
          <w:highlight w:val="white"/>
        </w:rPr>
        <w:t xml:space="preserve"> M</w:t>
      </w:r>
      <w:r>
        <w:rPr>
          <w:rFonts w:ascii="Arial" w:eastAsia="Arial" w:hAnsi="Arial" w:cs="Arial"/>
          <w:color w:val="2A2A2A"/>
          <w:sz w:val="17"/>
          <w:szCs w:val="17"/>
          <w:highlight w:val="white"/>
        </w:rPr>
        <w:t>, Edwards</w:t>
      </w:r>
      <w:r w:rsidR="00D32802">
        <w:rPr>
          <w:rFonts w:ascii="Arial" w:eastAsia="Arial" w:hAnsi="Arial" w:cs="Arial"/>
          <w:color w:val="2A2A2A"/>
          <w:sz w:val="17"/>
          <w:szCs w:val="17"/>
          <w:highlight w:val="white"/>
        </w:rPr>
        <w:t xml:space="preserve"> R.</w:t>
      </w:r>
      <w:r>
        <w:rPr>
          <w:rFonts w:ascii="Arial" w:eastAsia="Arial" w:hAnsi="Arial" w:cs="Arial"/>
          <w:color w:val="2A2A2A"/>
          <w:sz w:val="17"/>
          <w:szCs w:val="17"/>
          <w:highlight w:val="white"/>
        </w:rPr>
        <w:t xml:space="preserve"> Tobacco Industry “Transformation”—The Current State of Play, </w:t>
      </w:r>
      <w:r>
        <w:rPr>
          <w:rFonts w:ascii="Arial" w:eastAsia="Arial" w:hAnsi="Arial" w:cs="Arial"/>
          <w:i/>
          <w:color w:val="2A2A2A"/>
          <w:sz w:val="17"/>
          <w:szCs w:val="17"/>
          <w:highlight w:val="white"/>
        </w:rPr>
        <w:t>Nicotine &amp; Tobacco Research</w:t>
      </w:r>
      <w:r w:rsidR="00D53A6F">
        <w:rPr>
          <w:rFonts w:ascii="Arial" w:eastAsia="Arial" w:hAnsi="Arial" w:cs="Arial"/>
          <w:i/>
          <w:color w:val="2A2A2A"/>
          <w:sz w:val="17"/>
          <w:szCs w:val="17"/>
          <w:highlight w:val="white"/>
        </w:rPr>
        <w:t xml:space="preserve"> </w:t>
      </w:r>
      <w:r w:rsidR="00D53A6F">
        <w:rPr>
          <w:rFonts w:ascii="Arial" w:eastAsia="Arial" w:hAnsi="Arial" w:cs="Arial"/>
          <w:iCs/>
          <w:color w:val="2A2A2A"/>
          <w:sz w:val="17"/>
          <w:szCs w:val="17"/>
          <w:highlight w:val="white"/>
        </w:rPr>
        <w:t>2023</w:t>
      </w:r>
      <w:r w:rsidR="006840E2">
        <w:rPr>
          <w:rFonts w:ascii="Arial" w:eastAsia="Arial" w:hAnsi="Arial" w:cs="Arial"/>
          <w:color w:val="2A2A2A"/>
          <w:sz w:val="17"/>
          <w:szCs w:val="17"/>
          <w:highlight w:val="white"/>
        </w:rPr>
        <w:t>;</w:t>
      </w:r>
      <w:r>
        <w:rPr>
          <w:rFonts w:ascii="Arial" w:eastAsia="Arial" w:hAnsi="Arial" w:cs="Arial"/>
          <w:color w:val="2A2A2A"/>
          <w:sz w:val="17"/>
          <w:szCs w:val="17"/>
          <w:highlight w:val="white"/>
        </w:rPr>
        <w:t xml:space="preserve"> 25</w:t>
      </w:r>
      <w:r w:rsidR="00D53A6F">
        <w:rPr>
          <w:rFonts w:ascii="Arial" w:eastAsia="Arial" w:hAnsi="Arial" w:cs="Arial"/>
          <w:color w:val="2A2A2A"/>
          <w:sz w:val="17"/>
          <w:szCs w:val="17"/>
          <w:highlight w:val="white"/>
        </w:rPr>
        <w:t>(</w:t>
      </w:r>
      <w:r>
        <w:rPr>
          <w:rFonts w:ascii="Arial" w:eastAsia="Arial" w:hAnsi="Arial" w:cs="Arial"/>
          <w:color w:val="2A2A2A"/>
          <w:sz w:val="17"/>
          <w:szCs w:val="17"/>
          <w:highlight w:val="white"/>
        </w:rPr>
        <w:t>12</w:t>
      </w:r>
      <w:r w:rsidR="00D53A6F">
        <w:rPr>
          <w:rFonts w:ascii="Arial" w:eastAsia="Arial" w:hAnsi="Arial" w:cs="Arial"/>
          <w:color w:val="2A2A2A"/>
          <w:sz w:val="17"/>
          <w:szCs w:val="17"/>
          <w:highlight w:val="white"/>
        </w:rPr>
        <w:t>)</w:t>
      </w:r>
      <w:r w:rsidR="006840E2">
        <w:rPr>
          <w:rFonts w:ascii="Arial" w:eastAsia="Arial" w:hAnsi="Arial" w:cs="Arial"/>
          <w:color w:val="2A2A2A"/>
          <w:sz w:val="17"/>
          <w:szCs w:val="17"/>
          <w:highlight w:val="white"/>
        </w:rPr>
        <w:t>:</w:t>
      </w:r>
      <w:r>
        <w:rPr>
          <w:rFonts w:ascii="Arial" w:eastAsia="Arial" w:hAnsi="Arial" w:cs="Arial"/>
          <w:color w:val="2A2A2A"/>
          <w:sz w:val="17"/>
          <w:szCs w:val="17"/>
          <w:highlight w:val="white"/>
        </w:rPr>
        <w:t xml:space="preserve"> 1807–1809, </w:t>
      </w:r>
      <w:hyperlink r:id="rId7">
        <w:r w:rsidR="00F5679C" w:rsidRPr="00381176">
          <w:rPr>
            <w:rFonts w:ascii="Arial" w:eastAsia="Arial" w:hAnsi="Arial" w:cs="Arial"/>
            <w:color w:val="1155CC"/>
            <w:sz w:val="17"/>
            <w:szCs w:val="17"/>
            <w:highlight w:val="white"/>
            <w:u w:val="single"/>
          </w:rPr>
          <w:t>https://doi.org/10.1093/ntr/ntad181</w:t>
        </w:r>
      </w:hyperlink>
    </w:p>
  </w:footnote>
  <w:footnote w:id="10">
    <w:p w14:paraId="6CFF1BB7" w14:textId="28CF6802" w:rsidR="00976F86" w:rsidRPr="00976F86" w:rsidRDefault="00976F86">
      <w:pPr>
        <w:pStyle w:val="FootnoteText"/>
        <w:rPr>
          <w:lang w:val="en-US"/>
        </w:rPr>
      </w:pPr>
      <w:r>
        <w:rPr>
          <w:rStyle w:val="FootnoteReference"/>
        </w:rPr>
        <w:footnoteRef/>
      </w:r>
      <w:r>
        <w:t xml:space="preserve"> </w:t>
      </w:r>
      <w:r w:rsidRPr="00976F86">
        <w:rPr>
          <w:rFonts w:ascii="Arial" w:eastAsia="Arial" w:hAnsi="Arial" w:cs="Arial"/>
          <w:color w:val="2A2A2A"/>
          <w:sz w:val="17"/>
          <w:szCs w:val="17"/>
          <w:highlight w:val="white"/>
        </w:rPr>
        <w:t>Accessed 11 November 2024.</w:t>
      </w:r>
      <w:r>
        <w:rPr>
          <w:lang w:val="en-US"/>
        </w:rPr>
        <w:t xml:space="preserve"> </w:t>
      </w:r>
      <w:r w:rsidRPr="00976F86">
        <w:rPr>
          <w:rFonts w:ascii="Arial" w:eastAsia="Arial" w:hAnsi="Arial" w:cs="Arial"/>
          <w:color w:val="006FB7"/>
          <w:sz w:val="17"/>
          <w:szCs w:val="17"/>
          <w:highlight w:val="white"/>
          <w:u w:val="single"/>
        </w:rPr>
        <w:t>https://www.srnt.org/page/code_of_conduct</w:t>
      </w:r>
    </w:p>
  </w:footnote>
  <w:footnote w:id="11">
    <w:p w14:paraId="2625A692" w14:textId="50C6C0FB" w:rsidR="00CF74E8" w:rsidRPr="00CF74E8" w:rsidRDefault="00CF74E8">
      <w:pPr>
        <w:pStyle w:val="FootnoteText"/>
        <w:rPr>
          <w:lang w:val="en-US"/>
        </w:rPr>
      </w:pPr>
      <w:r>
        <w:rPr>
          <w:rStyle w:val="FootnoteReference"/>
        </w:rPr>
        <w:footnoteRef/>
      </w:r>
      <w:r>
        <w:t xml:space="preserve"> </w:t>
      </w:r>
      <w:r w:rsidR="004C027A">
        <w:rPr>
          <w:rFonts w:ascii="Arial" w:eastAsia="Arial" w:hAnsi="Arial" w:cs="Arial"/>
          <w:color w:val="2A2A2A"/>
          <w:sz w:val="17"/>
          <w:szCs w:val="17"/>
          <w:highlight w:val="white"/>
        </w:rPr>
        <w:t xml:space="preserve">Rose SW, Tan ASL, Bandi P, Maddox R, Berman M, Czaplicki L, Faseru B, Frazer K, Choi K. Commercial Tobacco and Nicotine Industry-Funded Research Has No Place in SRNT and Nicotine &amp; Tobacco Research, </w:t>
      </w:r>
      <w:r w:rsidR="004C027A" w:rsidRPr="00210B4D">
        <w:rPr>
          <w:rFonts w:ascii="Arial" w:eastAsia="Arial" w:hAnsi="Arial" w:cs="Arial"/>
          <w:color w:val="2A2A2A"/>
          <w:sz w:val="17"/>
          <w:szCs w:val="17"/>
          <w:highlight w:val="white"/>
        </w:rPr>
        <w:t>Nicotine &amp; Tobacco Research</w:t>
      </w:r>
      <w:r w:rsidR="004C027A">
        <w:rPr>
          <w:rFonts w:ascii="Arial" w:eastAsia="Arial" w:hAnsi="Arial" w:cs="Arial"/>
          <w:color w:val="2A2A2A"/>
          <w:sz w:val="17"/>
          <w:szCs w:val="17"/>
          <w:highlight w:val="white"/>
        </w:rPr>
        <w:t xml:space="preserve"> 2024, 26(8): 963–965. </w:t>
      </w:r>
      <w:hyperlink r:id="rId8">
        <w:r w:rsidR="004C027A">
          <w:rPr>
            <w:rFonts w:ascii="Arial" w:eastAsia="Arial" w:hAnsi="Arial" w:cs="Arial"/>
            <w:color w:val="006FB7"/>
            <w:sz w:val="17"/>
            <w:szCs w:val="17"/>
            <w:highlight w:val="white"/>
            <w:u w:val="single"/>
          </w:rPr>
          <w:t>https://doi.org/10.1093/ntr/ntae109</w:t>
        </w:r>
      </w:hyperlink>
    </w:p>
  </w:footnote>
  <w:footnote w:id="12">
    <w:p w14:paraId="495DB7FF" w14:textId="52CF7A19" w:rsidR="004C027A" w:rsidRPr="004C027A" w:rsidRDefault="004C027A">
      <w:pPr>
        <w:pStyle w:val="FootnoteText"/>
        <w:rPr>
          <w:lang w:val="en-US"/>
        </w:rPr>
      </w:pPr>
      <w:r>
        <w:rPr>
          <w:rStyle w:val="FootnoteReference"/>
        </w:rPr>
        <w:footnoteRef/>
      </w:r>
      <w:r>
        <w:t xml:space="preserve"> </w:t>
      </w:r>
      <w:r>
        <w:rPr>
          <w:rFonts w:ascii="Arial" w:eastAsia="Arial" w:hAnsi="Arial" w:cs="Arial"/>
          <w:color w:val="2A2A2A"/>
          <w:sz w:val="17"/>
          <w:szCs w:val="17"/>
          <w:highlight w:val="white"/>
        </w:rPr>
        <w:t xml:space="preserve">Vassey, Julia, et al. "Influence of disclosed and undisclosed funding sources in tobacco harm reduction discourse: a social network analysis." </w:t>
      </w:r>
      <w:r w:rsidRPr="00D53A6F">
        <w:rPr>
          <w:rFonts w:ascii="Arial" w:eastAsia="Arial" w:hAnsi="Arial" w:cs="Arial"/>
          <w:i/>
          <w:iCs/>
          <w:color w:val="2A2A2A"/>
          <w:sz w:val="17"/>
          <w:szCs w:val="17"/>
          <w:highlight w:val="white"/>
        </w:rPr>
        <w:t>Nicotine and Tobacco Research</w:t>
      </w:r>
      <w:r>
        <w:rPr>
          <w:rFonts w:ascii="Arial" w:eastAsia="Arial" w:hAnsi="Arial" w:cs="Arial"/>
          <w:color w:val="2A2A2A"/>
          <w:sz w:val="17"/>
          <w:szCs w:val="17"/>
          <w:highlight w:val="white"/>
        </w:rPr>
        <w:t xml:space="preserve"> 2023; 25(12): 1829-1837. </w:t>
      </w:r>
      <w:hyperlink r:id="rId9">
        <w:r>
          <w:rPr>
            <w:rFonts w:ascii="Arial" w:eastAsia="Arial" w:hAnsi="Arial" w:cs="Arial"/>
            <w:color w:val="1155CC"/>
            <w:sz w:val="17"/>
            <w:szCs w:val="17"/>
            <w:highlight w:val="white"/>
            <w:u w:val="single"/>
          </w:rPr>
          <w:t>https://doi.org/10.1093/ntr/ntac250</w:t>
        </w:r>
      </w:hyperlink>
    </w:p>
  </w:footnote>
  <w:footnote w:id="13">
    <w:p w14:paraId="40E2CDD8" w14:textId="24BE2E9E" w:rsidR="00BE39B3" w:rsidRPr="00BE39B3" w:rsidRDefault="00BE39B3">
      <w:pPr>
        <w:pStyle w:val="FootnoteText"/>
        <w:rPr>
          <w:lang w:val="en-US"/>
        </w:rPr>
      </w:pPr>
      <w:r>
        <w:rPr>
          <w:rStyle w:val="FootnoteReference"/>
        </w:rPr>
        <w:footnoteRef/>
      </w:r>
      <w:r>
        <w:t xml:space="preserve"> </w:t>
      </w:r>
      <w:r w:rsidRPr="00BE39B3">
        <w:rPr>
          <w:rFonts w:ascii="Arial" w:eastAsia="Arial" w:hAnsi="Arial" w:cs="Arial"/>
          <w:color w:val="2A2A2A"/>
          <w:sz w:val="17"/>
          <w:szCs w:val="17"/>
          <w:highlight w:val="white"/>
        </w:rPr>
        <w:t>Hendlin YH, Vora M, Elias J, Ling PM. Financial Conflicts of Interest and Stance on Tobacco Harm Reduction: A Systematic Review. Am J Public Health. 2019 Jul;109(7</w:t>
      </w:r>
      <w:proofErr w:type="gramStart"/>
      <w:r w:rsidRPr="00BE39B3">
        <w:rPr>
          <w:rFonts w:ascii="Arial" w:eastAsia="Arial" w:hAnsi="Arial" w:cs="Arial"/>
          <w:color w:val="2A2A2A"/>
          <w:sz w:val="17"/>
          <w:szCs w:val="17"/>
          <w:highlight w:val="white"/>
        </w:rPr>
        <w:t>):e</w:t>
      </w:r>
      <w:proofErr w:type="gramEnd"/>
      <w:r w:rsidRPr="00BE39B3">
        <w:rPr>
          <w:rFonts w:ascii="Arial" w:eastAsia="Arial" w:hAnsi="Arial" w:cs="Arial"/>
          <w:color w:val="2A2A2A"/>
          <w:sz w:val="17"/>
          <w:szCs w:val="17"/>
          <w:highlight w:val="white"/>
        </w:rPr>
        <w:t>1-e8.</w:t>
      </w:r>
      <w:r w:rsidRPr="00BE39B3">
        <w:t xml:space="preserve"> </w:t>
      </w:r>
      <w:r w:rsidRPr="00BE39B3">
        <w:rPr>
          <w:rFonts w:ascii="Arial" w:eastAsia="Arial" w:hAnsi="Arial" w:cs="Arial"/>
          <w:color w:val="1155CC"/>
          <w:sz w:val="17"/>
          <w:szCs w:val="17"/>
          <w:highlight w:val="white"/>
          <w:u w:val="single"/>
        </w:rPr>
        <w:t>https://doi</w:t>
      </w:r>
      <w:r w:rsidR="0073136C">
        <w:rPr>
          <w:rFonts w:ascii="Arial" w:eastAsia="Arial" w:hAnsi="Arial" w:cs="Arial"/>
          <w:color w:val="1155CC"/>
          <w:sz w:val="17"/>
          <w:szCs w:val="17"/>
          <w:highlight w:val="white"/>
          <w:u w:val="single"/>
        </w:rPr>
        <w:t>.org/</w:t>
      </w:r>
      <w:r w:rsidRPr="00BE39B3">
        <w:rPr>
          <w:rFonts w:ascii="Arial" w:eastAsia="Arial" w:hAnsi="Arial" w:cs="Arial"/>
          <w:color w:val="1155CC"/>
          <w:sz w:val="17"/>
          <w:szCs w:val="17"/>
          <w:highlight w:val="white"/>
          <w:u w:val="single"/>
        </w:rPr>
        <w:t>10.2105/AJPH.2019.305106</w:t>
      </w:r>
    </w:p>
  </w:footnote>
  <w:footnote w:id="14">
    <w:p w14:paraId="48D1992C" w14:textId="06AA0870" w:rsidR="004C6D96" w:rsidRPr="004C6D96" w:rsidRDefault="004C6D96">
      <w:pPr>
        <w:pStyle w:val="FootnoteText"/>
        <w:rPr>
          <w:lang w:val="en-US"/>
        </w:rPr>
      </w:pPr>
      <w:r>
        <w:rPr>
          <w:rStyle w:val="FootnoteReference"/>
        </w:rPr>
        <w:footnoteRef/>
      </w:r>
      <w:r>
        <w:t xml:space="preserve"> </w:t>
      </w:r>
      <w:r w:rsidRPr="004C6D96">
        <w:rPr>
          <w:rFonts w:ascii="Arial" w:eastAsia="Arial" w:hAnsi="Arial" w:cs="Arial"/>
          <w:color w:val="2A2A2A"/>
          <w:sz w:val="17"/>
          <w:szCs w:val="17"/>
          <w:highlight w:val="white"/>
        </w:rPr>
        <w:t>Pisinger C, Godtfredsen N, Bender AM. A conflict of interest is strongly associated with tobacco industry-favourable results, indicating no harm of e-cigarettes. Prev Med. 2019 Feb;119:</w:t>
      </w:r>
      <w:r>
        <w:rPr>
          <w:rFonts w:ascii="Arial" w:eastAsia="Arial" w:hAnsi="Arial" w:cs="Arial"/>
          <w:color w:val="2A2A2A"/>
          <w:sz w:val="17"/>
          <w:szCs w:val="17"/>
          <w:highlight w:val="white"/>
        </w:rPr>
        <w:t xml:space="preserve"> </w:t>
      </w:r>
      <w:r w:rsidRPr="004C6D96">
        <w:rPr>
          <w:rFonts w:ascii="Arial" w:eastAsia="Arial" w:hAnsi="Arial" w:cs="Arial"/>
          <w:color w:val="2A2A2A"/>
          <w:sz w:val="17"/>
          <w:szCs w:val="17"/>
          <w:highlight w:val="white"/>
        </w:rPr>
        <w:t>124-131.</w:t>
      </w:r>
      <w:r>
        <w:t xml:space="preserve"> </w:t>
      </w:r>
      <w:r w:rsidRPr="004C6D96">
        <w:rPr>
          <w:rFonts w:ascii="Arial" w:eastAsia="Arial" w:hAnsi="Arial" w:cs="Arial"/>
          <w:color w:val="1155CC"/>
          <w:sz w:val="17"/>
          <w:szCs w:val="17"/>
          <w:highlight w:val="white"/>
          <w:u w:val="single"/>
        </w:rPr>
        <w:t>https://doi.org/10.1016/j.ypmed.2018.12.011</w:t>
      </w:r>
    </w:p>
  </w:footnote>
  <w:footnote w:id="15">
    <w:p w14:paraId="0000000C" w14:textId="77777777" w:rsidR="00F5679C" w:rsidRDefault="00592B00">
      <w:pPr>
        <w:pBdr>
          <w:top w:val="nil"/>
          <w:left w:val="nil"/>
          <w:bottom w:val="nil"/>
          <w:right w:val="nil"/>
          <w:between w:val="nil"/>
        </w:pBdr>
        <w:spacing w:after="0" w:line="240" w:lineRule="auto"/>
        <w:rPr>
          <w:rFonts w:ascii="Play" w:eastAsia="Play" w:hAnsi="Play" w:cs="Play"/>
          <w:color w:val="000000"/>
          <w:sz w:val="16"/>
          <w:szCs w:val="16"/>
        </w:rPr>
      </w:pPr>
      <w:r>
        <w:rPr>
          <w:rStyle w:val="FootnoteReference"/>
        </w:rPr>
        <w:footnoteRef/>
      </w:r>
      <w:r>
        <w:rPr>
          <w:rFonts w:ascii="Play" w:eastAsia="Play" w:hAnsi="Play" w:cs="Play"/>
          <w:color w:val="000000"/>
          <w:sz w:val="16"/>
          <w:szCs w:val="16"/>
        </w:rPr>
        <w:t xml:space="preserve"> </w:t>
      </w:r>
      <w:r w:rsidRPr="00D73A23">
        <w:rPr>
          <w:rFonts w:ascii="Arial" w:eastAsia="Arial" w:hAnsi="Arial" w:cs="Arial"/>
          <w:color w:val="2A2A2A"/>
          <w:sz w:val="17"/>
          <w:szCs w:val="17"/>
          <w:highlight w:val="white"/>
        </w:rPr>
        <w:t>World Health Organization Guidelines: Norms and Standards for Pharmaceuticals. 2024.</w:t>
      </w:r>
      <w:r>
        <w:rPr>
          <w:rFonts w:ascii="Play" w:eastAsia="Play" w:hAnsi="Play" w:cs="Play"/>
          <w:color w:val="000000"/>
          <w:sz w:val="16"/>
          <w:szCs w:val="16"/>
        </w:rPr>
        <w:t xml:space="preserve"> </w:t>
      </w:r>
      <w:hyperlink r:id="rId10">
        <w:r w:rsidR="00F5679C" w:rsidRPr="00D73A23">
          <w:rPr>
            <w:rFonts w:ascii="Arial" w:eastAsia="Arial" w:hAnsi="Arial" w:cs="Arial"/>
            <w:color w:val="1155CC"/>
            <w:sz w:val="17"/>
            <w:szCs w:val="17"/>
            <w:highlight w:val="white"/>
            <w:u w:val="single"/>
          </w:rPr>
          <w:t>https://www.who.int/teams/health-product-and-policy-standards/standards-and-specifications/norms-and-standards-for-pharmaceuticals/guidelines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2096"/>
    <w:multiLevelType w:val="multilevel"/>
    <w:tmpl w:val="A1AE4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A94B18"/>
    <w:multiLevelType w:val="multilevel"/>
    <w:tmpl w:val="1856D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0846410">
    <w:abstractNumId w:val="0"/>
  </w:num>
  <w:num w:numId="2" w16cid:durableId="250622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9C"/>
    <w:rsid w:val="000E2922"/>
    <w:rsid w:val="000E6EB3"/>
    <w:rsid w:val="00127609"/>
    <w:rsid w:val="00210B4D"/>
    <w:rsid w:val="00223629"/>
    <w:rsid w:val="00284E28"/>
    <w:rsid w:val="002B7EF6"/>
    <w:rsid w:val="00331B69"/>
    <w:rsid w:val="003409E1"/>
    <w:rsid w:val="003513ED"/>
    <w:rsid w:val="00381176"/>
    <w:rsid w:val="003B746E"/>
    <w:rsid w:val="0040450F"/>
    <w:rsid w:val="004049C9"/>
    <w:rsid w:val="00435BE9"/>
    <w:rsid w:val="00476F54"/>
    <w:rsid w:val="00497B50"/>
    <w:rsid w:val="004C027A"/>
    <w:rsid w:val="004C6D96"/>
    <w:rsid w:val="004E113C"/>
    <w:rsid w:val="004E7712"/>
    <w:rsid w:val="005543DA"/>
    <w:rsid w:val="00590E28"/>
    <w:rsid w:val="00592B00"/>
    <w:rsid w:val="005F159F"/>
    <w:rsid w:val="00614689"/>
    <w:rsid w:val="00622816"/>
    <w:rsid w:val="0066586E"/>
    <w:rsid w:val="006758B8"/>
    <w:rsid w:val="006840E2"/>
    <w:rsid w:val="0073136C"/>
    <w:rsid w:val="007739E3"/>
    <w:rsid w:val="007D2849"/>
    <w:rsid w:val="007E2A87"/>
    <w:rsid w:val="008A3072"/>
    <w:rsid w:val="008F0321"/>
    <w:rsid w:val="00976F86"/>
    <w:rsid w:val="009A04A9"/>
    <w:rsid w:val="00A00802"/>
    <w:rsid w:val="00A55E1B"/>
    <w:rsid w:val="00AA3A2B"/>
    <w:rsid w:val="00B915AC"/>
    <w:rsid w:val="00BE39B3"/>
    <w:rsid w:val="00C01BC2"/>
    <w:rsid w:val="00CD6C20"/>
    <w:rsid w:val="00CF74E8"/>
    <w:rsid w:val="00D037E8"/>
    <w:rsid w:val="00D32802"/>
    <w:rsid w:val="00D53A6F"/>
    <w:rsid w:val="00D701D2"/>
    <w:rsid w:val="00D73A23"/>
    <w:rsid w:val="00DC01A0"/>
    <w:rsid w:val="00DC0293"/>
    <w:rsid w:val="00E70ABA"/>
    <w:rsid w:val="00E720A2"/>
    <w:rsid w:val="00EA6E06"/>
    <w:rsid w:val="00F5679C"/>
    <w:rsid w:val="00F92E29"/>
    <w:rsid w:val="00FE06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9AB8"/>
  <w15:docId w15:val="{7D963800-B759-4CE4-93B5-793AF7B2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6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6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6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6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C66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6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6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6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6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6EF"/>
    <w:rPr>
      <w:rFonts w:eastAsiaTheme="majorEastAsia" w:cstheme="majorBidi"/>
      <w:color w:val="272727" w:themeColor="text1" w:themeTint="D8"/>
    </w:rPr>
  </w:style>
  <w:style w:type="character" w:customStyle="1" w:styleId="TitleChar">
    <w:name w:val="Title Char"/>
    <w:basedOn w:val="DefaultParagraphFont"/>
    <w:link w:val="Title"/>
    <w:uiPriority w:val="10"/>
    <w:rsid w:val="002C6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C6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6EF"/>
    <w:pPr>
      <w:spacing w:before="160"/>
      <w:jc w:val="center"/>
    </w:pPr>
    <w:rPr>
      <w:i/>
      <w:iCs/>
      <w:color w:val="404040" w:themeColor="text1" w:themeTint="BF"/>
    </w:rPr>
  </w:style>
  <w:style w:type="character" w:customStyle="1" w:styleId="QuoteChar">
    <w:name w:val="Quote Char"/>
    <w:basedOn w:val="DefaultParagraphFont"/>
    <w:link w:val="Quote"/>
    <w:uiPriority w:val="29"/>
    <w:rsid w:val="002C66EF"/>
    <w:rPr>
      <w:i/>
      <w:iCs/>
      <w:color w:val="404040" w:themeColor="text1" w:themeTint="BF"/>
    </w:rPr>
  </w:style>
  <w:style w:type="paragraph" w:styleId="ListParagraph">
    <w:name w:val="List Paragraph"/>
    <w:basedOn w:val="Normal"/>
    <w:uiPriority w:val="34"/>
    <w:qFormat/>
    <w:rsid w:val="002C66EF"/>
    <w:pPr>
      <w:ind w:left="720"/>
      <w:contextualSpacing/>
    </w:pPr>
  </w:style>
  <w:style w:type="character" w:styleId="IntenseEmphasis">
    <w:name w:val="Intense Emphasis"/>
    <w:basedOn w:val="DefaultParagraphFont"/>
    <w:uiPriority w:val="21"/>
    <w:qFormat/>
    <w:rsid w:val="002C66EF"/>
    <w:rPr>
      <w:i/>
      <w:iCs/>
      <w:color w:val="0F4761" w:themeColor="accent1" w:themeShade="BF"/>
    </w:rPr>
  </w:style>
  <w:style w:type="paragraph" w:styleId="IntenseQuote">
    <w:name w:val="Intense Quote"/>
    <w:basedOn w:val="Normal"/>
    <w:next w:val="Normal"/>
    <w:link w:val="IntenseQuoteChar"/>
    <w:uiPriority w:val="30"/>
    <w:qFormat/>
    <w:rsid w:val="002C6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6EF"/>
    <w:rPr>
      <w:i/>
      <w:iCs/>
      <w:color w:val="0F4761" w:themeColor="accent1" w:themeShade="BF"/>
    </w:rPr>
  </w:style>
  <w:style w:type="character" w:styleId="IntenseReference">
    <w:name w:val="Intense Reference"/>
    <w:basedOn w:val="DefaultParagraphFont"/>
    <w:uiPriority w:val="32"/>
    <w:qFormat/>
    <w:rsid w:val="002C66EF"/>
    <w:rPr>
      <w:b/>
      <w:bCs/>
      <w:smallCaps/>
      <w:color w:val="0F4761" w:themeColor="accent1" w:themeShade="BF"/>
      <w:spacing w:val="5"/>
    </w:rPr>
  </w:style>
  <w:style w:type="character" w:customStyle="1" w:styleId="ui-provider">
    <w:name w:val="ui-provider"/>
    <w:basedOn w:val="DefaultParagraphFont"/>
    <w:rsid w:val="003A545B"/>
  </w:style>
  <w:style w:type="character" w:styleId="Hyperlink">
    <w:name w:val="Hyperlink"/>
    <w:basedOn w:val="DefaultParagraphFont"/>
    <w:uiPriority w:val="99"/>
    <w:unhideWhenUsed/>
    <w:rsid w:val="00695D83"/>
    <w:rPr>
      <w:color w:val="467886" w:themeColor="hyperlink"/>
      <w:u w:val="single"/>
    </w:rPr>
  </w:style>
  <w:style w:type="paragraph" w:styleId="FootnoteText">
    <w:name w:val="footnote text"/>
    <w:basedOn w:val="Normal"/>
    <w:link w:val="FootnoteTextChar"/>
    <w:uiPriority w:val="99"/>
    <w:semiHidden/>
    <w:unhideWhenUsed/>
    <w:rsid w:val="000E09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9F8"/>
    <w:rPr>
      <w:rFonts w:ascii="Aptos" w:eastAsia="Aptos" w:hAnsi="Aptos" w:cs="Aptos"/>
      <w:kern w:val="0"/>
      <w:sz w:val="20"/>
      <w:szCs w:val="20"/>
      <w:lang w:eastAsia="en-AU"/>
    </w:rPr>
  </w:style>
  <w:style w:type="character" w:styleId="FootnoteReference">
    <w:name w:val="footnote reference"/>
    <w:basedOn w:val="DefaultParagraphFont"/>
    <w:uiPriority w:val="99"/>
    <w:semiHidden/>
    <w:unhideWhenUsed/>
    <w:rsid w:val="000E09F8"/>
    <w:rPr>
      <w:vertAlign w:val="superscript"/>
    </w:rPr>
  </w:style>
  <w:style w:type="paragraph" w:styleId="Header">
    <w:name w:val="header"/>
    <w:basedOn w:val="Normal"/>
    <w:link w:val="HeaderChar"/>
    <w:uiPriority w:val="99"/>
    <w:semiHidden/>
    <w:unhideWhenUsed/>
    <w:rsid w:val="0003137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31375"/>
  </w:style>
  <w:style w:type="paragraph" w:styleId="Footer">
    <w:name w:val="footer"/>
    <w:basedOn w:val="Normal"/>
    <w:link w:val="FooterChar"/>
    <w:uiPriority w:val="99"/>
    <w:semiHidden/>
    <w:unhideWhenUsed/>
    <w:rsid w:val="0003137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31375"/>
  </w:style>
  <w:style w:type="paragraph" w:styleId="Revision">
    <w:name w:val="Revision"/>
    <w:hidden/>
    <w:uiPriority w:val="99"/>
    <w:semiHidden/>
    <w:rsid w:val="004C37F3"/>
    <w:pPr>
      <w:spacing w:after="0" w:line="240" w:lineRule="auto"/>
    </w:pPr>
  </w:style>
  <w:style w:type="character" w:styleId="CommentReference">
    <w:name w:val="annotation reference"/>
    <w:basedOn w:val="DefaultParagraphFont"/>
    <w:uiPriority w:val="99"/>
    <w:semiHidden/>
    <w:unhideWhenUsed/>
    <w:rsid w:val="004C37F3"/>
    <w:rPr>
      <w:sz w:val="16"/>
      <w:szCs w:val="16"/>
    </w:rPr>
  </w:style>
  <w:style w:type="paragraph" w:styleId="CommentText">
    <w:name w:val="annotation text"/>
    <w:basedOn w:val="Normal"/>
    <w:link w:val="CommentTextChar"/>
    <w:uiPriority w:val="99"/>
    <w:unhideWhenUsed/>
    <w:rsid w:val="004C37F3"/>
    <w:pPr>
      <w:spacing w:line="240" w:lineRule="auto"/>
    </w:pPr>
    <w:rPr>
      <w:sz w:val="20"/>
      <w:szCs w:val="20"/>
    </w:rPr>
  </w:style>
  <w:style w:type="character" w:customStyle="1" w:styleId="CommentTextChar">
    <w:name w:val="Comment Text Char"/>
    <w:basedOn w:val="DefaultParagraphFont"/>
    <w:link w:val="CommentText"/>
    <w:uiPriority w:val="99"/>
    <w:rsid w:val="004C37F3"/>
    <w:rPr>
      <w:sz w:val="20"/>
      <w:szCs w:val="20"/>
    </w:rPr>
  </w:style>
  <w:style w:type="paragraph" w:styleId="CommentSubject">
    <w:name w:val="annotation subject"/>
    <w:basedOn w:val="CommentText"/>
    <w:next w:val="CommentText"/>
    <w:link w:val="CommentSubjectChar"/>
    <w:uiPriority w:val="99"/>
    <w:semiHidden/>
    <w:unhideWhenUsed/>
    <w:rsid w:val="004C37F3"/>
    <w:rPr>
      <w:b/>
      <w:bCs/>
    </w:rPr>
  </w:style>
  <w:style w:type="character" w:customStyle="1" w:styleId="CommentSubjectChar">
    <w:name w:val="Comment Subject Char"/>
    <w:basedOn w:val="CommentTextChar"/>
    <w:link w:val="CommentSubject"/>
    <w:uiPriority w:val="99"/>
    <w:semiHidden/>
    <w:rsid w:val="004C37F3"/>
    <w:rPr>
      <w:b/>
      <w:bCs/>
      <w:sz w:val="20"/>
      <w:szCs w:val="20"/>
    </w:rPr>
  </w:style>
  <w:style w:type="character" w:styleId="UnresolvedMention">
    <w:name w:val="Unresolved Mention"/>
    <w:basedOn w:val="DefaultParagraphFont"/>
    <w:uiPriority w:val="99"/>
    <w:semiHidden/>
    <w:unhideWhenUsed/>
    <w:rsid w:val="00A55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2643">
      <w:bodyDiv w:val="1"/>
      <w:marLeft w:val="0"/>
      <w:marRight w:val="0"/>
      <w:marTop w:val="0"/>
      <w:marBottom w:val="0"/>
      <w:divBdr>
        <w:top w:val="none" w:sz="0" w:space="0" w:color="auto"/>
        <w:left w:val="none" w:sz="0" w:space="0" w:color="auto"/>
        <w:bottom w:val="none" w:sz="0" w:space="0" w:color="auto"/>
        <w:right w:val="none" w:sz="0" w:space="0" w:color="auto"/>
      </w:divBdr>
      <w:divsChild>
        <w:div w:id="1013412965">
          <w:marLeft w:val="0"/>
          <w:marRight w:val="0"/>
          <w:marTop w:val="0"/>
          <w:marBottom w:val="0"/>
          <w:divBdr>
            <w:top w:val="none" w:sz="0" w:space="0" w:color="auto"/>
            <w:left w:val="none" w:sz="0" w:space="0" w:color="auto"/>
            <w:bottom w:val="none" w:sz="0" w:space="0" w:color="auto"/>
            <w:right w:val="none" w:sz="0" w:space="0" w:color="auto"/>
          </w:divBdr>
        </w:div>
        <w:div w:id="1618947671">
          <w:marLeft w:val="0"/>
          <w:marRight w:val="0"/>
          <w:marTop w:val="0"/>
          <w:marBottom w:val="0"/>
          <w:divBdr>
            <w:top w:val="none" w:sz="0" w:space="0" w:color="auto"/>
            <w:left w:val="none" w:sz="0" w:space="0" w:color="auto"/>
            <w:bottom w:val="none" w:sz="0" w:space="0" w:color="auto"/>
            <w:right w:val="none" w:sz="0" w:space="0" w:color="auto"/>
          </w:divBdr>
        </w:div>
        <w:div w:id="1610313015">
          <w:marLeft w:val="0"/>
          <w:marRight w:val="0"/>
          <w:marTop w:val="0"/>
          <w:marBottom w:val="0"/>
          <w:divBdr>
            <w:top w:val="none" w:sz="0" w:space="0" w:color="auto"/>
            <w:left w:val="none" w:sz="0" w:space="0" w:color="auto"/>
            <w:bottom w:val="none" w:sz="0" w:space="0" w:color="auto"/>
            <w:right w:val="none" w:sz="0" w:space="0" w:color="auto"/>
          </w:divBdr>
        </w:div>
      </w:divsChild>
    </w:div>
    <w:div w:id="568348615">
      <w:bodyDiv w:val="1"/>
      <w:marLeft w:val="0"/>
      <w:marRight w:val="0"/>
      <w:marTop w:val="0"/>
      <w:marBottom w:val="0"/>
      <w:divBdr>
        <w:top w:val="none" w:sz="0" w:space="0" w:color="auto"/>
        <w:left w:val="none" w:sz="0" w:space="0" w:color="auto"/>
        <w:bottom w:val="none" w:sz="0" w:space="0" w:color="auto"/>
        <w:right w:val="none" w:sz="0" w:space="0" w:color="auto"/>
      </w:divBdr>
    </w:div>
    <w:div w:id="634605887">
      <w:bodyDiv w:val="1"/>
      <w:marLeft w:val="0"/>
      <w:marRight w:val="0"/>
      <w:marTop w:val="0"/>
      <w:marBottom w:val="0"/>
      <w:divBdr>
        <w:top w:val="none" w:sz="0" w:space="0" w:color="auto"/>
        <w:left w:val="none" w:sz="0" w:space="0" w:color="auto"/>
        <w:bottom w:val="none" w:sz="0" w:space="0" w:color="auto"/>
        <w:right w:val="none" w:sz="0" w:space="0" w:color="auto"/>
      </w:divBdr>
    </w:div>
    <w:div w:id="1305698165">
      <w:bodyDiv w:val="1"/>
      <w:marLeft w:val="0"/>
      <w:marRight w:val="0"/>
      <w:marTop w:val="0"/>
      <w:marBottom w:val="0"/>
      <w:divBdr>
        <w:top w:val="none" w:sz="0" w:space="0" w:color="auto"/>
        <w:left w:val="none" w:sz="0" w:space="0" w:color="auto"/>
        <w:bottom w:val="none" w:sz="0" w:space="0" w:color="auto"/>
        <w:right w:val="none" w:sz="0" w:space="0" w:color="auto"/>
      </w:divBdr>
    </w:div>
    <w:div w:id="1594970287">
      <w:bodyDiv w:val="1"/>
      <w:marLeft w:val="0"/>
      <w:marRight w:val="0"/>
      <w:marTop w:val="0"/>
      <w:marBottom w:val="0"/>
      <w:divBdr>
        <w:top w:val="none" w:sz="0" w:space="0" w:color="auto"/>
        <w:left w:val="none" w:sz="0" w:space="0" w:color="auto"/>
        <w:bottom w:val="none" w:sz="0" w:space="0" w:color="auto"/>
        <w:right w:val="none" w:sz="0" w:space="0" w:color="auto"/>
      </w:divBdr>
      <w:divsChild>
        <w:div w:id="578558653">
          <w:marLeft w:val="0"/>
          <w:marRight w:val="0"/>
          <w:marTop w:val="0"/>
          <w:marBottom w:val="0"/>
          <w:divBdr>
            <w:top w:val="none" w:sz="0" w:space="0" w:color="auto"/>
            <w:left w:val="none" w:sz="0" w:space="0" w:color="auto"/>
            <w:bottom w:val="none" w:sz="0" w:space="0" w:color="auto"/>
            <w:right w:val="none" w:sz="0" w:space="0" w:color="auto"/>
          </w:divBdr>
        </w:div>
        <w:div w:id="1138760552">
          <w:marLeft w:val="0"/>
          <w:marRight w:val="0"/>
          <w:marTop w:val="0"/>
          <w:marBottom w:val="0"/>
          <w:divBdr>
            <w:top w:val="none" w:sz="0" w:space="0" w:color="auto"/>
            <w:left w:val="none" w:sz="0" w:space="0" w:color="auto"/>
            <w:bottom w:val="none" w:sz="0" w:space="0" w:color="auto"/>
            <w:right w:val="none" w:sz="0" w:space="0" w:color="auto"/>
          </w:divBdr>
        </w:div>
        <w:div w:id="62533734">
          <w:marLeft w:val="0"/>
          <w:marRight w:val="0"/>
          <w:marTop w:val="0"/>
          <w:marBottom w:val="0"/>
          <w:divBdr>
            <w:top w:val="none" w:sz="0" w:space="0" w:color="auto"/>
            <w:left w:val="none" w:sz="0" w:space="0" w:color="auto"/>
            <w:bottom w:val="none" w:sz="0" w:space="0" w:color="auto"/>
            <w:right w:val="none" w:sz="0" w:space="0" w:color="auto"/>
          </w:divBdr>
        </w:div>
      </w:divsChild>
    </w:div>
    <w:div w:id="1746297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doi.org/10.1093/ntr/ntae109" TargetMode="External"/><Relationship Id="rId3" Type="http://schemas.openxmlformats.org/officeDocument/2006/relationships/hyperlink" Target="https://www.phcc.org.nz/briefing/two-faced-tobacco-industry-transformation-and-cigarillos" TargetMode="External"/><Relationship Id="rId7" Type="http://schemas.openxmlformats.org/officeDocument/2006/relationships/hyperlink" Target="https://doi.org/10.1093/ntr/ntad181" TargetMode="External"/><Relationship Id="rId2" Type="http://schemas.openxmlformats.org/officeDocument/2006/relationships/hyperlink" Target="https://doi.org/10.1093/ntr/ntae109" TargetMode="External"/><Relationship Id="rId1" Type="http://schemas.openxmlformats.org/officeDocument/2006/relationships/hyperlink" Target="https://apps.who.int/gb/fctc/PDF/cop6/FCTC_COP6_10Rev1-en.pdf" TargetMode="External"/><Relationship Id="rId6" Type="http://schemas.openxmlformats.org/officeDocument/2006/relationships/hyperlink" Target="http://dx.doi.org/10.1136/tobaccocontrol-2021-056687" TargetMode="External"/><Relationship Id="rId5" Type="http://schemas.openxmlformats.org/officeDocument/2006/relationships/hyperlink" Target="http://dx.doi.org/10.1136/tobaccocontrol-2013-051502" TargetMode="External"/><Relationship Id="rId10" Type="http://schemas.openxmlformats.org/officeDocument/2006/relationships/hyperlink" Target="https://www.who.int/teams/health-product-and-policy-standards/standards-and-specifications/norms-and-standards-for-pharmaceuticals/guidelines" TargetMode="External"/><Relationship Id="rId4" Type="http://schemas.openxmlformats.org/officeDocument/2006/relationships/hyperlink" Target="https://doi.org/10.1093/ntr/ntac250" TargetMode="External"/><Relationship Id="rId9" Type="http://schemas.openxmlformats.org/officeDocument/2006/relationships/hyperlink" Target="https://doi.org/10.1093/ntr/ntac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3bed00-3193-440a-a06f-5e97637c53ba" xsi:nil="true"/>
    <lcf76f155ced4ddcb4097134ff3c332f xmlns="b1d2ae77-9bf9-43b5-b21f-869d5bba7f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2kwkHk8XYbwHOeMlcEFtCAblxQ==">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C0D6AD2DE21634395B491CD8E1CFF8A" ma:contentTypeVersion="20" ma:contentTypeDescription="Create a new document." ma:contentTypeScope="" ma:versionID="61b98fc9160fdea266a2d165b485737f">
  <xsd:schema xmlns:xsd="http://www.w3.org/2001/XMLSchema" xmlns:xs="http://www.w3.org/2001/XMLSchema" xmlns:p="http://schemas.microsoft.com/office/2006/metadata/properties" xmlns:ns2="ea3bed00-3193-440a-a06f-5e97637c53ba" xmlns:ns3="b1d2ae77-9bf9-43b5-b21f-869d5bba7fc9" targetNamespace="http://schemas.microsoft.com/office/2006/metadata/properties" ma:root="true" ma:fieldsID="ca92f6327b6530af5050729e4638585c" ns2:_="" ns3:_="">
    <xsd:import namespace="ea3bed00-3193-440a-a06f-5e97637c53ba"/>
    <xsd:import namespace="b1d2ae77-9bf9-43b5-b21f-869d5bba7f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bed00-3193-440a-a06f-5e97637c53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cea4ce-8ffe-42c7-a389-6825a1fc9c10}" ma:internalName="TaxCatchAll" ma:showField="CatchAllData" ma:web="ea3bed00-3193-440a-a06f-5e97637c53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d2ae77-9bf9-43b5-b21f-869d5bba7fc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c8c6a6-44c3-4362-ad22-626ae0b4359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96986-EC92-4AE8-B43A-5F7B70EFE0BD}">
  <ds:schemaRefs>
    <ds:schemaRef ds:uri="http://schemas.microsoft.com/office/2006/metadata/properties"/>
    <ds:schemaRef ds:uri="http://schemas.microsoft.com/office/infopath/2007/PartnerControls"/>
    <ds:schemaRef ds:uri="ea3bed00-3193-440a-a06f-5e97637c53ba"/>
    <ds:schemaRef ds:uri="b1d2ae77-9bf9-43b5-b21f-869d5bba7fc9"/>
  </ds:schemaRefs>
</ds:datastoreItem>
</file>

<file path=customXml/itemProps2.xml><?xml version="1.0" encoding="utf-8"?>
<ds:datastoreItem xmlns:ds="http://schemas.openxmlformats.org/officeDocument/2006/customXml" ds:itemID="{1CF2D95E-0F86-4BC1-997C-938649F52903}">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5149AAA-27D8-4041-A1AE-B15865353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bed00-3193-440a-a06f-5e97637c53ba"/>
    <ds:schemaRef ds:uri="b1d2ae77-9bf9-43b5-b21f-869d5bba7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3AFB14-0F7B-4F68-B21B-ACAD1F1C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Durkin</dc:creator>
  <cp:lastModifiedBy>Alys Havard</cp:lastModifiedBy>
  <cp:revision>5</cp:revision>
  <dcterms:created xsi:type="dcterms:W3CDTF">2025-05-26T05:32:00Z</dcterms:created>
  <dcterms:modified xsi:type="dcterms:W3CDTF">2025-05-26T05:34:00Z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0x0101003C0D6AD2DE21634395B491CD8E1CFF8A</vt:lpwstr>
  </property>
  <property fmtid="{D5CDD505-2E9C-101B-9397-08002B2CF9AE}" pid="3" name="MediaServiceImageTags">
    <vt:lpwstr/>
  </property>
</Properties>
</file>